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1F6B" w:rsidRDefault="00191F6B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0000002" w14:textId="77777777" w:rsidR="00191F6B" w:rsidRDefault="00191F6B">
      <w:pPr>
        <w:jc w:val="center"/>
        <w:rPr>
          <w:rFonts w:ascii="Roboto" w:eastAsia="Roboto" w:hAnsi="Roboto" w:cs="Roboto"/>
          <w:b/>
          <w:sz w:val="28"/>
          <w:szCs w:val="28"/>
          <w:u w:val="single"/>
        </w:rPr>
      </w:pPr>
    </w:p>
    <w:p w14:paraId="00000003" w14:textId="77777777" w:rsidR="00191F6B" w:rsidRDefault="00FA09D7">
      <w:pPr>
        <w:spacing w:after="160" w:line="259" w:lineRule="auto"/>
        <w:jc w:val="center"/>
        <w:rPr>
          <w:rFonts w:ascii="Roboto" w:eastAsia="Roboto" w:hAnsi="Roboto" w:cs="Roboto"/>
          <w:sz w:val="34"/>
          <w:szCs w:val="34"/>
        </w:rPr>
      </w:pPr>
      <w:r>
        <w:rPr>
          <w:rFonts w:ascii="Roboto" w:eastAsia="Roboto" w:hAnsi="Roboto" w:cs="Roboto"/>
          <w:b/>
          <w:sz w:val="30"/>
          <w:szCs w:val="30"/>
        </w:rPr>
        <w:t>EQA, primera entidad acreditada por ENAC para la validación del principio DNSH para su uso en líneas de ayudas del CDTI</w:t>
      </w:r>
    </w:p>
    <w:p w14:paraId="00000004" w14:textId="77777777" w:rsidR="00191F6B" w:rsidRDefault="00FA09D7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05" w14:textId="77777777" w:rsidR="00191F6B" w:rsidRDefault="00FA09D7">
      <w:pPr>
        <w:numPr>
          <w:ilvl w:val="0"/>
          <w:numId w:val="1"/>
        </w:num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2"/>
          <w:szCs w:val="22"/>
        </w:rPr>
        <w:t>Al exigir validación acreditada, el CDTI reduce considerablemente los riesgos asociados a la fiabilidad de los validadores</w:t>
      </w:r>
    </w:p>
    <w:p w14:paraId="00000006" w14:textId="77777777" w:rsidR="00191F6B" w:rsidRDefault="00191F6B">
      <w:pPr>
        <w:ind w:left="72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00000007" w14:textId="10D00D15" w:rsidR="00191F6B" w:rsidRDefault="1CA13A9F" w:rsidP="1CA13A9F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1CA13A9F">
        <w:rPr>
          <w:rFonts w:ascii="Roboto" w:eastAsia="Roboto" w:hAnsi="Roboto" w:cs="Roboto"/>
          <w:color w:val="111111"/>
          <w:sz w:val="22"/>
          <w:szCs w:val="22"/>
        </w:rPr>
        <w:t xml:space="preserve">Madrid, 09 de enero de 2023.- La </w:t>
      </w:r>
      <w:hyperlink r:id="rId10" w:history="1">
        <w:r w:rsidRPr="1CA13A9F">
          <w:rPr>
            <w:rFonts w:ascii="Roboto" w:eastAsia="Roboto" w:hAnsi="Roboto" w:cs="Roboto"/>
            <w:color w:val="111111"/>
            <w:sz w:val="22"/>
            <w:szCs w:val="22"/>
          </w:rPr>
          <w:t>Entidad Nacional de Acreditación</w:t>
        </w:r>
      </w:hyperlink>
      <w:r w:rsidRPr="1CA13A9F">
        <w:rPr>
          <w:rFonts w:ascii="Roboto" w:eastAsia="Roboto" w:hAnsi="Roboto" w:cs="Roboto"/>
          <w:color w:val="111111"/>
          <w:sz w:val="22"/>
          <w:szCs w:val="22"/>
        </w:rPr>
        <w:t xml:space="preserve"> (</w:t>
      </w:r>
      <w:r w:rsidRPr="1CA13A9F">
        <w:rPr>
          <w:rFonts w:ascii="Roboto" w:eastAsia="Roboto" w:hAnsi="Roboto" w:cs="Roboto"/>
          <w:sz w:val="22"/>
          <w:szCs w:val="22"/>
        </w:rPr>
        <w:t xml:space="preserve">ENAC) ha concedido a </w:t>
      </w:r>
      <w:hyperlink r:id="rId11">
        <w:proofErr w:type="spellStart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European</w:t>
        </w:r>
        <w:proofErr w:type="spellEnd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 xml:space="preserve"> </w:t>
        </w:r>
        <w:proofErr w:type="spellStart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Quality</w:t>
        </w:r>
        <w:proofErr w:type="spellEnd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 xml:space="preserve"> </w:t>
        </w:r>
        <w:proofErr w:type="spellStart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Assurance</w:t>
        </w:r>
        <w:proofErr w:type="spellEnd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 xml:space="preserve"> </w:t>
        </w:r>
        <w:proofErr w:type="spellStart"/>
        <w:r w:rsidRPr="1CA13A9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Spain</w:t>
        </w:r>
        <w:proofErr w:type="spellEnd"/>
      </w:hyperlink>
      <w:r w:rsidRPr="1CA13A9F">
        <w:rPr>
          <w:rFonts w:ascii="Roboto" w:eastAsia="Roboto" w:hAnsi="Roboto" w:cs="Roboto"/>
          <w:sz w:val="22"/>
          <w:szCs w:val="22"/>
        </w:rPr>
        <w:t xml:space="preserve"> (</w:t>
      </w:r>
      <w:bookmarkStart w:id="0" w:name="_Int_WpN6DchY"/>
      <w:r w:rsidRPr="1CA13A9F">
        <w:rPr>
          <w:rFonts w:ascii="Roboto" w:eastAsia="Roboto" w:hAnsi="Roboto" w:cs="Roboto"/>
          <w:b/>
          <w:bCs/>
          <w:sz w:val="22"/>
          <w:szCs w:val="22"/>
        </w:rPr>
        <w:t>EQA</w:t>
      </w:r>
      <w:r w:rsidRPr="1CA13A9F">
        <w:rPr>
          <w:rFonts w:ascii="Roboto" w:eastAsia="Roboto" w:hAnsi="Roboto" w:cs="Roboto"/>
          <w:sz w:val="22"/>
          <w:szCs w:val="22"/>
        </w:rPr>
        <w:t>)</w:t>
      </w:r>
      <w:bookmarkEnd w:id="0"/>
      <w:r w:rsidR="00FA09D7">
        <w:rPr>
          <w:rFonts w:ascii="Roboto" w:eastAsia="Roboto" w:hAnsi="Roboto" w:cs="Roboto"/>
          <w:sz w:val="22"/>
          <w:szCs w:val="22"/>
        </w:rPr>
        <w:t xml:space="preserve"> </w:t>
      </w:r>
      <w:r w:rsidRPr="1CA13A9F">
        <w:rPr>
          <w:rFonts w:ascii="Roboto" w:eastAsia="Roboto" w:hAnsi="Roboto" w:cs="Roboto"/>
          <w:sz w:val="22"/>
          <w:szCs w:val="22"/>
        </w:rPr>
        <w:t xml:space="preserve">la ampliación de la acreditación para la </w:t>
      </w:r>
      <w:r w:rsidRPr="1CA13A9F">
        <w:rPr>
          <w:rFonts w:ascii="Roboto" w:eastAsia="Roboto" w:hAnsi="Roboto" w:cs="Roboto"/>
          <w:b/>
          <w:bCs/>
          <w:sz w:val="22"/>
          <w:szCs w:val="22"/>
        </w:rPr>
        <w:t>validación de la autoevaluación del principio DNSH</w:t>
      </w:r>
      <w:r w:rsidRPr="1CA13A9F">
        <w:rPr>
          <w:rFonts w:ascii="Roboto" w:eastAsia="Roboto" w:hAnsi="Roboto" w:cs="Roboto"/>
          <w:sz w:val="22"/>
          <w:szCs w:val="22"/>
        </w:rPr>
        <w:t xml:space="preserve"> (o no causar un perjuicio significativo al medioambiente) </w:t>
      </w:r>
      <w:r w:rsidRPr="1CA13A9F">
        <w:rPr>
          <w:rFonts w:ascii="Roboto" w:eastAsia="Roboto" w:hAnsi="Roboto" w:cs="Roboto"/>
          <w:b/>
          <w:bCs/>
          <w:sz w:val="22"/>
          <w:szCs w:val="22"/>
        </w:rPr>
        <w:t xml:space="preserve">para las líneas de ayuda establecidas por el </w:t>
      </w:r>
      <w:hyperlink r:id="rId12">
        <w:r w:rsidRPr="1CA13A9F">
          <w:rPr>
            <w:rFonts w:ascii="Roboto" w:eastAsia="Roboto" w:hAnsi="Roboto" w:cs="Roboto"/>
            <w:b/>
            <w:bCs/>
            <w:sz w:val="22"/>
            <w:szCs w:val="22"/>
          </w:rPr>
          <w:t>Centro para el Desarrollo Tecnológico Industrial</w:t>
        </w:r>
      </w:hyperlink>
      <w:r w:rsidRPr="1CA13A9F">
        <w:rPr>
          <w:rFonts w:ascii="Roboto" w:eastAsia="Roboto" w:hAnsi="Roboto" w:cs="Roboto"/>
          <w:b/>
          <w:bCs/>
          <w:sz w:val="22"/>
          <w:szCs w:val="22"/>
        </w:rPr>
        <w:t xml:space="preserve"> (CDTI), tales </w:t>
      </w:r>
      <w:r w:rsidRPr="1CA13A9F">
        <w:rPr>
          <w:rFonts w:ascii="Roboto" w:eastAsia="Roboto" w:hAnsi="Roboto" w:cs="Roboto"/>
          <w:sz w:val="22"/>
          <w:szCs w:val="22"/>
        </w:rPr>
        <w:t xml:space="preserve">como la Línea Directa de expansión (LICA), la Línea Directa de Innovación (LIC) o el Proyecto I+D, convirtiéndose así en la </w:t>
      </w:r>
      <w:r w:rsidRPr="1CA13A9F">
        <w:rPr>
          <w:rFonts w:ascii="Roboto" w:eastAsia="Roboto" w:hAnsi="Roboto" w:cs="Roboto"/>
          <w:b/>
          <w:bCs/>
          <w:sz w:val="22"/>
          <w:szCs w:val="22"/>
        </w:rPr>
        <w:t xml:space="preserve">primera entidad acreditada en España </w:t>
      </w:r>
      <w:r w:rsidRPr="1CA13A9F">
        <w:rPr>
          <w:rFonts w:ascii="Roboto" w:eastAsia="Roboto" w:hAnsi="Roboto" w:cs="Roboto"/>
          <w:sz w:val="22"/>
          <w:szCs w:val="22"/>
        </w:rPr>
        <w:t>para la validación del DNSH con respecto a estos requisitos específicos.</w:t>
      </w:r>
    </w:p>
    <w:p w14:paraId="00000008" w14:textId="77777777" w:rsidR="00191F6B" w:rsidRDefault="00191F6B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00000009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Al exigir validación acreditada, el C</w:t>
      </w:r>
      <w:r>
        <w:rPr>
          <w:rFonts w:ascii="Roboto" w:eastAsia="Roboto" w:hAnsi="Roboto" w:cs="Roboto"/>
          <w:sz w:val="22"/>
          <w:szCs w:val="22"/>
        </w:rPr>
        <w:t>DTI, entidad pública empresarial dependiente del Ministerio de Ciencia e Innovación dedicada a promover la innovación y el desarrollo tecnológico de las empresas españolas canalizando las solicitudes de ayuda y apoyo a los proyectos de I+D+i tanto a escala</w:t>
      </w:r>
      <w:r>
        <w:rPr>
          <w:rFonts w:ascii="Roboto" w:eastAsia="Roboto" w:hAnsi="Roboto" w:cs="Roboto"/>
          <w:sz w:val="22"/>
          <w:szCs w:val="22"/>
        </w:rPr>
        <w:t xml:space="preserve"> nacional como internacional, </w:t>
      </w:r>
      <w:r>
        <w:rPr>
          <w:rFonts w:ascii="Roboto" w:eastAsia="Roboto" w:hAnsi="Roboto" w:cs="Roboto"/>
          <w:b/>
          <w:sz w:val="22"/>
          <w:szCs w:val="22"/>
        </w:rPr>
        <w:t>reduce considerablemente los riesgos asociados a la fiabilidad de los validadores</w:t>
      </w:r>
      <w:r>
        <w:rPr>
          <w:rFonts w:ascii="Roboto" w:eastAsia="Roboto" w:hAnsi="Roboto" w:cs="Roboto"/>
          <w:sz w:val="22"/>
          <w:szCs w:val="22"/>
        </w:rPr>
        <w:t>, al considerar a la acreditación una garantía de competencia técnica y una prueba de que operan de acuerdo a normas internacionales y bajo la ev</w:t>
      </w:r>
      <w:r>
        <w:rPr>
          <w:rFonts w:ascii="Roboto" w:eastAsia="Roboto" w:hAnsi="Roboto" w:cs="Roboto"/>
          <w:sz w:val="22"/>
          <w:szCs w:val="22"/>
        </w:rPr>
        <w:t>aluación y vigilancia de ENAC.</w:t>
      </w:r>
    </w:p>
    <w:p w14:paraId="0000000A" w14:textId="77777777" w:rsidR="00191F6B" w:rsidRDefault="00191F6B">
      <w:pPr>
        <w:rPr>
          <w:rFonts w:ascii="Roboto" w:eastAsia="Roboto" w:hAnsi="Roboto" w:cs="Roboto"/>
          <w:sz w:val="22"/>
          <w:szCs w:val="22"/>
        </w:rPr>
      </w:pPr>
    </w:p>
    <w:p w14:paraId="0000000B" w14:textId="77777777" w:rsidR="00191F6B" w:rsidRDefault="00FA09D7">
      <w:pPr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¿Por qué confiar en la validación acreditada?</w:t>
      </w:r>
    </w:p>
    <w:p w14:paraId="0000000C" w14:textId="77777777" w:rsidR="00191F6B" w:rsidRDefault="00191F6B">
      <w:pPr>
        <w:rPr>
          <w:rFonts w:ascii="Roboto" w:eastAsia="Roboto" w:hAnsi="Roboto" w:cs="Roboto"/>
          <w:sz w:val="22"/>
          <w:szCs w:val="22"/>
        </w:rPr>
      </w:pPr>
    </w:p>
    <w:p w14:paraId="0000000D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acreditación de ENAC en base a la norma UNE-EN ISO/IEC 17029 aporta las necesarias garantías de que la entidad acreditada dispone de procesos de evaluación y decisión fiables</w:t>
      </w:r>
      <w:r>
        <w:rPr>
          <w:rFonts w:ascii="Roboto" w:eastAsia="Roboto" w:hAnsi="Roboto" w:cs="Roboto"/>
          <w:sz w:val="22"/>
          <w:szCs w:val="22"/>
        </w:rPr>
        <w:t xml:space="preserve"> y que son realizados por personal competente e imparcial, con capacidad técnica de evaluar la declaración del titular, en este caso, acerca de su cumplimiento del principio DNSH, proporcionando confianza y aseguramiento a la administración y a otras parte</w:t>
      </w:r>
      <w:r>
        <w:rPr>
          <w:rFonts w:ascii="Roboto" w:eastAsia="Roboto" w:hAnsi="Roboto" w:cs="Roboto"/>
          <w:sz w:val="22"/>
          <w:szCs w:val="22"/>
        </w:rPr>
        <w:t>s interesadas.</w:t>
      </w:r>
    </w:p>
    <w:p w14:paraId="0000000E" w14:textId="77777777" w:rsidR="00191F6B" w:rsidRDefault="00191F6B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0" w14:textId="44606383" w:rsidR="00191F6B" w:rsidRDefault="00191F6B" w:rsidP="1CA13A9F">
      <w:pPr>
        <w:jc w:val="both"/>
      </w:pPr>
    </w:p>
    <w:p w14:paraId="00000011" w14:textId="77777777" w:rsidR="00191F6B" w:rsidRDefault="00FA09D7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00000012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La Entidad Nacional de Acreditación – ENAC – es la </w:t>
      </w:r>
      <w:r w:rsidRPr="00FA09D7">
        <w:rPr>
          <w:rFonts w:ascii="Roboto" w:eastAsia="Roboto" w:hAnsi="Roboto" w:cs="Roboto"/>
          <w:sz w:val="22"/>
          <w:szCs w:val="22"/>
        </w:rPr>
        <w:t>entidad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>designada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>por el Gobierno para operar en Espa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ñ</w:t>
      </w:r>
      <w:r w:rsidRPr="00FA09D7">
        <w:rPr>
          <w:rFonts w:ascii="Roboto" w:eastAsia="Roboto" w:hAnsi="Roboto" w:cs="Roboto"/>
          <w:sz w:val="22"/>
          <w:szCs w:val="22"/>
        </w:rPr>
        <w:t xml:space="preserve">a como el 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ú</w:t>
      </w:r>
      <w:r w:rsidRPr="00FA09D7">
        <w:rPr>
          <w:rFonts w:ascii="Roboto" w:eastAsia="Roboto" w:hAnsi="Roboto" w:cs="Roboto"/>
          <w:sz w:val="22"/>
          <w:szCs w:val="22"/>
        </w:rPr>
        <w:t>nico Organismo Nacional de Acreditaci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ó</w:t>
      </w:r>
      <w:r w:rsidRPr="00FA09D7">
        <w:rPr>
          <w:rFonts w:ascii="Roboto" w:eastAsia="Roboto" w:hAnsi="Roboto" w:cs="Roboto"/>
          <w:sz w:val="22"/>
          <w:szCs w:val="22"/>
        </w:rPr>
        <w:t>n, en aplicaci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ó</w:t>
      </w:r>
      <w:r w:rsidRPr="00FA09D7">
        <w:rPr>
          <w:rFonts w:ascii="Roboto" w:eastAsia="Roboto" w:hAnsi="Roboto" w:cs="Roboto"/>
          <w:sz w:val="22"/>
          <w:szCs w:val="22"/>
        </w:rPr>
        <w:t>n del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>Reglamento (CE) n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º</w:t>
      </w:r>
      <w:r w:rsidRPr="00FA09D7">
        <w:rPr>
          <w:rFonts w:ascii="Roboto" w:eastAsia="Roboto" w:hAnsi="Roboto" w:cs="Roboto"/>
          <w:sz w:val="22"/>
          <w:szCs w:val="22"/>
        </w:rPr>
        <w:t>765/2008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>del Parlamento Europeo que regula el funcionamiento de</w:t>
      </w:r>
      <w:r w:rsidRPr="00FA09D7">
        <w:rPr>
          <w:rFonts w:ascii="Roboto" w:eastAsia="Roboto" w:hAnsi="Roboto" w:cs="Roboto"/>
          <w:sz w:val="22"/>
          <w:szCs w:val="22"/>
        </w:rPr>
        <w:t xml:space="preserve"> la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>acreditaci</w:t>
      </w:r>
      <w:r w:rsidRPr="00FA09D7">
        <w:rPr>
          <w:rFonts w:ascii="___WRD_EMBED_SUB_44" w:eastAsia="Roboto" w:hAnsi="___WRD_EMBED_SUB_44" w:cs="___WRD_EMBED_SUB_44"/>
          <w:sz w:val="22"/>
          <w:szCs w:val="22"/>
        </w:rPr>
        <w:t>ó</w:t>
      </w:r>
      <w:r w:rsidRPr="00FA09D7">
        <w:rPr>
          <w:rFonts w:ascii="Roboto" w:eastAsia="Roboto" w:hAnsi="Roboto" w:cs="Roboto"/>
          <w:sz w:val="22"/>
          <w:szCs w:val="22"/>
        </w:rPr>
        <w:t>n</w:t>
      </w:r>
      <w:r w:rsidRPr="00FA09D7">
        <w:rPr>
          <w:rFonts w:eastAsia="Roboto"/>
          <w:sz w:val="22"/>
          <w:szCs w:val="22"/>
        </w:rPr>
        <w:t> </w:t>
      </w:r>
      <w:r w:rsidRPr="00FA09D7">
        <w:rPr>
          <w:rFonts w:ascii="Roboto" w:eastAsia="Roboto" w:hAnsi="Roboto" w:cs="Roboto"/>
          <w:sz w:val="22"/>
          <w:szCs w:val="22"/>
        </w:rPr>
        <w:t xml:space="preserve">en Europa. </w:t>
      </w:r>
    </w:p>
    <w:p w14:paraId="00000013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5A5F9151" w14:textId="58A488E6" w:rsidR="00FD3793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rPr>
          <w:rFonts w:ascii="Roboto" w:eastAsia="Roboto" w:hAnsi="Roboto" w:cs="Roboto"/>
          <w:sz w:val="22"/>
          <w:szCs w:val="22"/>
        </w:rPr>
        <w:t>ión, entidades de certificación y verificadores medioambientales que desarrollen su actividad en cualquier sector: industria,  energía, medio ambiente, sanidad, alimentación, investigación, desarrollo e innovación, transportes, telecomunicaciones, turismo,</w:t>
      </w:r>
      <w:r>
        <w:rPr>
          <w:rFonts w:ascii="Roboto" w:eastAsia="Roboto" w:hAnsi="Roboto" w:cs="Roboto"/>
          <w:sz w:val="22"/>
          <w:szCs w:val="22"/>
        </w:rPr>
        <w:t xml:space="preserve"> servicios, construcción, </w:t>
      </w:r>
      <w:r>
        <w:rPr>
          <w:rFonts w:ascii="Roboto" w:eastAsia="Roboto" w:hAnsi="Roboto" w:cs="Roboto"/>
          <w:sz w:val="22"/>
          <w:szCs w:val="22"/>
        </w:rPr>
        <w:t>etc. </w:t>
      </w:r>
    </w:p>
    <w:p w14:paraId="5D21C99A" w14:textId="77777777" w:rsidR="00FD3793" w:rsidRDefault="00FD3793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4" w14:textId="1F56B9C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Contribuye, así, a la seguridad y el bienestar de las personas, la calidad de los productos y servicios, la protección del medioambiente y, con ello, al aumento de la competitividad de los productos y servicios españoles y a </w:t>
      </w:r>
      <w:r>
        <w:rPr>
          <w:rFonts w:ascii="Roboto" w:eastAsia="Roboto" w:hAnsi="Roboto" w:cs="Roboto"/>
          <w:sz w:val="22"/>
          <w:szCs w:val="22"/>
        </w:rPr>
        <w:t>una disminución de los costes para la sociedad debidos a estas actividades. </w:t>
      </w:r>
    </w:p>
    <w:p w14:paraId="00000015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00000016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rFonts w:ascii="Roboto" w:eastAsia="Roboto" w:hAnsi="Roboto" w:cs="Roboto"/>
          <w:sz w:val="22"/>
          <w:szCs w:val="22"/>
        </w:rPr>
        <w:t xml:space="preserve"> en los que la marca de ENAC es reconocida y aceptada gracias a los acuerdos de reconocimiento que ENAC ha suscrito con las entidades de acreditación de esos países.</w:t>
      </w:r>
    </w:p>
    <w:p w14:paraId="00000017" w14:textId="77777777" w:rsidR="00191F6B" w:rsidRDefault="00191F6B">
      <w:pPr>
        <w:shd w:val="clear" w:color="auto" w:fill="FFFFFF"/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</w:p>
    <w:p w14:paraId="00000018" w14:textId="77777777" w:rsidR="00191F6B" w:rsidRDefault="00FA09D7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19" w14:textId="77777777" w:rsidR="00191F6B" w:rsidRDefault="00FA09D7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1A" w14:textId="77777777" w:rsidR="00191F6B" w:rsidRDefault="00191F6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B" w14:textId="77777777" w:rsidR="00191F6B" w:rsidRDefault="00FA09D7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24892B3" wp14:editId="07777777">
            <wp:extent cx="304800" cy="304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C84FAF0" wp14:editId="07777777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C" w14:textId="77777777" w:rsidR="00191F6B" w:rsidRDefault="00191F6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D" w14:textId="77777777" w:rsidR="00191F6B" w:rsidRDefault="00191F6B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E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1F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0000020" w14:textId="77777777" w:rsidR="00191F6B" w:rsidRDefault="00FA09D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0000021" w14:textId="77777777" w:rsidR="00191F6B" w:rsidRDefault="00191F6B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0000022" w14:textId="77777777" w:rsidR="00191F6B" w:rsidRDefault="00191F6B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3" w14:textId="77777777" w:rsidR="00191F6B" w:rsidRDefault="00191F6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4" w14:textId="77777777" w:rsidR="00191F6B" w:rsidRDefault="00191F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191F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59F7" w14:textId="77777777" w:rsidR="00000000" w:rsidRDefault="00FA09D7">
      <w:r>
        <w:separator/>
      </w:r>
    </w:p>
  </w:endnote>
  <w:endnote w:type="continuationSeparator" w:id="0">
    <w:p w14:paraId="23A4BC32" w14:textId="77777777" w:rsidR="00000000" w:rsidRDefault="00FA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___WRD_EMBED_SUB_44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3DBA6966" w:rsidR="00191F6B" w:rsidRDefault="00FA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3793">
      <w:rPr>
        <w:noProof/>
        <w:color w:val="000000"/>
      </w:rPr>
      <w:t>1</w:t>
    </w:r>
    <w:r>
      <w:rPr>
        <w:color w:val="000000"/>
      </w:rPr>
      <w:fldChar w:fldCharType="end"/>
    </w:r>
  </w:p>
  <w:p w14:paraId="0000002B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BA9E" w14:textId="77777777" w:rsidR="00000000" w:rsidRDefault="00FA09D7">
      <w:r>
        <w:separator/>
      </w:r>
    </w:p>
  </w:footnote>
  <w:footnote w:type="continuationSeparator" w:id="0">
    <w:p w14:paraId="53BAEC33" w14:textId="77777777" w:rsidR="00000000" w:rsidRDefault="00FA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191F6B" w:rsidRDefault="00FA09D7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5588F4" wp14:editId="07777777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7" w14:textId="77777777" w:rsidR="00191F6B" w:rsidRDefault="00FA09D7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00000028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91F6B" w:rsidRDefault="00191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pN6DchY" int2:invalidationBookmarkName="" int2:hashCode="4U+/7TvM+o85RB" int2:id="LBvKtGB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1455"/>
    <w:multiLevelType w:val="multilevel"/>
    <w:tmpl w:val="DCAA002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693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13A9F"/>
    <w:rsid w:val="00191F6B"/>
    <w:rsid w:val="00FA09D7"/>
    <w:rsid w:val="00FD3793"/>
    <w:rsid w:val="1CA13A9F"/>
    <w:rsid w:val="4F1BD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C26E"/>
  <w15:docId w15:val="{F37E028B-DF41-49AD-9B8A-C6E27DE5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ac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dti.es/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qa.e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enac.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35060-1DA8-41F5-BA07-95E8C188EB13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48DE3F52-6EDF-48CE-AA57-E3FF9533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90DE-2432-412C-AD35-A87C3EB00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2</cp:revision>
  <dcterms:created xsi:type="dcterms:W3CDTF">2023-01-10T08:39:00Z</dcterms:created>
  <dcterms:modified xsi:type="dcterms:W3CDTF">2023-01-10T09:24:00Z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