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208FF" w:rsidRDefault="001207BC" w14:paraId="557DCFE2" wp14:textId="77777777">
      <w:pPr>
        <w:jc w:val="center"/>
        <w:rPr>
          <w:rFonts w:ascii="Roboto" w:hAnsi="Roboto" w:eastAsia="Roboto" w:cs="Roboto"/>
          <w:b/>
          <w:bCs/>
          <w:sz w:val="32"/>
          <w:szCs w:val="32"/>
        </w:rPr>
      </w:pPr>
      <w:r>
        <w:rPr>
          <w:rFonts w:ascii="Roboto" w:hAnsi="Roboto" w:eastAsia="Roboto" w:cs="Roboto"/>
          <w:b/>
          <w:bCs/>
          <w:sz w:val="32"/>
          <w:szCs w:val="32"/>
        </w:rPr>
        <w:t>ENAC concede la primera acreditación para realizar ensayos PCR-RT a partir de ADN ambiental del mejillón cebra a Laboratorios Tecnológicos de Levante</w:t>
      </w:r>
    </w:p>
    <w:p xmlns:wp14="http://schemas.microsoft.com/office/word/2010/wordml" w:rsidR="007208FF" w:rsidRDefault="007208FF" w14:paraId="0A37501D" wp14:textId="77777777">
      <w:pPr>
        <w:spacing w:line="276" w:lineRule="auto"/>
        <w:jc w:val="center"/>
        <w:rPr>
          <w:rFonts w:ascii="Roboto" w:hAnsi="Roboto" w:eastAsia="Roboto" w:cs="Roboto"/>
          <w:b/>
          <w:bCs/>
          <w:sz w:val="30"/>
          <w:szCs w:val="30"/>
          <w:u w:val="single"/>
        </w:rPr>
      </w:pPr>
    </w:p>
    <w:p xmlns:wp14="http://schemas.microsoft.com/office/word/2010/wordml" w:rsidR="007208FF" w:rsidRDefault="001207BC" w14:paraId="44F582B4" wp14:textId="77777777">
      <w:pPr>
        <w:numPr>
          <w:ilvl w:val="0"/>
          <w:numId w:val="1"/>
        </w:num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  <w:b/>
          <w:bCs/>
          <w:sz w:val="20"/>
          <w:szCs w:val="20"/>
        </w:rPr>
      </w:pPr>
      <w:r>
        <w:rPr>
          <w:rFonts w:ascii="Roboto" w:hAnsi="Roboto" w:eastAsia="Roboto" w:cs="Roboto"/>
          <w:b/>
          <w:bCs/>
          <w:sz w:val="20"/>
          <w:szCs w:val="20"/>
        </w:rPr>
        <w:t>Este ensayo permite detectar al mejillón cebra incluso antes de que haya una colonización visible y evaluar la eficacia de programas de prevención y contención</w:t>
      </w:r>
    </w:p>
    <w:p xmlns:wp14="http://schemas.microsoft.com/office/word/2010/wordml" w:rsidR="007208FF" w:rsidRDefault="007208FF" w14:paraId="5DAB6C7B" wp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ind w:left="720"/>
        <w:jc w:val="both"/>
        <w:rPr>
          <w:rFonts w:ascii="Roboto" w:hAnsi="Roboto" w:eastAsia="Roboto" w:cs="Roboto"/>
          <w:sz w:val="20"/>
          <w:szCs w:val="20"/>
        </w:rPr>
      </w:pPr>
    </w:p>
    <w:p xmlns:wp14="http://schemas.microsoft.com/office/word/2010/wordml" w:rsidR="007208FF" w:rsidRDefault="001207BC" w14:paraId="29D6B04F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w:rsidR="001207BC" w:rsidP="71D6AF29" w:rsidRDefault="001207BC" w14:paraId="51202CBC" w14:textId="2E7C8CA1">
      <w:pPr>
        <w:spacing w:before="0" w:beforeAutospacing="off" w:after="0" w:afterAutospacing="off"/>
        <w:jc w:val="both"/>
      </w:pPr>
      <w:r w:rsidRPr="71D6AF29" w:rsidR="001207BC">
        <w:rPr>
          <w:rFonts w:ascii="Roboto" w:hAnsi="Roboto" w:eastAsia="Roboto" w:cs="Roboto"/>
          <w:sz w:val="22"/>
          <w:szCs w:val="22"/>
        </w:rPr>
        <w:t>Madrid, 14 de enero de 2026.-</w:t>
      </w:r>
      <w:r w:rsidRPr="71D6AF29" w:rsidR="65601AFD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 La </w:t>
      </w:r>
      <w:hyperlink r:id="R92399b9f9e794f5e">
        <w:r w:rsidRPr="71D6AF29" w:rsidR="65601AFD">
          <w:rPr>
            <w:rStyle w:val="Hipervnculo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"/>
          </w:rPr>
          <w:t xml:space="preserve">Entidad Nacional de Acreditación </w:t>
        </w:r>
      </w:hyperlink>
      <w:r w:rsidRPr="71D6AF29" w:rsidR="65601AFD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(ENAC) ha concedido a </w:t>
      </w:r>
      <w:r w:rsidRPr="71D6AF29" w:rsidR="65601AFD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>Laboratorios Tecnológicos de Levante la primera acreditación en España para la toma de muestras de ADN ambiental en sistemas de aguas superficiales</w:t>
      </w:r>
      <w:r w:rsidRPr="71D6AF29" w:rsidR="65601AFD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>, para la posterior detección y cuantificación del mejillón cebra mediante el ensayo PCR-RT a partir de este ADN ambiental.</w:t>
      </w:r>
    </w:p>
    <w:p w:rsidR="71D6AF29" w:rsidP="71D6AF29" w:rsidRDefault="71D6AF29" w14:paraId="0BF2E50B" w14:textId="37658081">
      <w:pPr>
        <w:jc w:val="both"/>
      </w:pPr>
    </w:p>
    <w:p xmlns:wp14="http://schemas.microsoft.com/office/word/2010/wordml" w:rsidR="007208FF" w:rsidRDefault="001207BC" w14:paraId="3DF5A6C8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Este ensayo consiste en </w:t>
      </w:r>
      <w:r>
        <w:rPr>
          <w:rFonts w:ascii="Roboto" w:hAnsi="Roboto" w:eastAsia="Roboto" w:cs="Roboto"/>
          <w:b/>
          <w:bCs/>
          <w:sz w:val="22"/>
          <w:szCs w:val="22"/>
        </w:rPr>
        <w:t>detectar la especie buscando su material genético en agua procedente de la masa a estudiar</w:t>
      </w:r>
      <w:r>
        <w:rPr>
          <w:rFonts w:ascii="Roboto" w:hAnsi="Roboto" w:eastAsia="Roboto" w:cs="Roboto"/>
          <w:sz w:val="22"/>
          <w:szCs w:val="22"/>
        </w:rPr>
        <w:t>, y permite identificar, así, al mejillón cebra incluso antes de que haya una colonización visible, además de</w:t>
      </w:r>
      <w:r>
        <w:rPr>
          <w:rFonts w:ascii="Roboto" w:hAnsi="Roboto" w:eastAsia="Roboto" w:cs="Roboto"/>
          <w:b/>
          <w:bCs/>
          <w:sz w:val="22"/>
          <w:szCs w:val="22"/>
        </w:rPr>
        <w:t xml:space="preserve"> facilitar la monitorización de poblaciones invasoras y la evaluación de la eficacia de programas de prevención y contención</w:t>
      </w:r>
      <w:r>
        <w:rPr>
          <w:rFonts w:ascii="Roboto" w:hAnsi="Roboto" w:eastAsia="Roboto" w:cs="Roboto"/>
          <w:sz w:val="22"/>
          <w:szCs w:val="22"/>
        </w:rPr>
        <w:t>.</w:t>
      </w:r>
    </w:p>
    <w:p xmlns:wp14="http://schemas.microsoft.com/office/word/2010/wordml" w:rsidR="007208FF" w:rsidRDefault="001207BC" w14:paraId="3240ECE7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El mejillón cebra es una especie exótica invasora con impactos significativos sobre el medioambiente: por un lado, altera los ecosistemas y desplaza a la fauna autóctona y, por otro, causa importantes daños en infraestructuras relacionadas con la captación y distribución del agua, entre otras instalaciones.</w:t>
      </w:r>
    </w:p>
    <w:p xmlns:wp14="http://schemas.microsoft.com/office/word/2010/wordml" w:rsidR="007208FF" w:rsidRDefault="001207BC" w14:paraId="289E2CE3" wp14:textId="77777777">
      <w:pPr>
        <w:spacing w:after="160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Por ello, resulta esencial realizar un seguimiento riguroso en las zonas ya invadidas y controlar las masas de agua que puedan verse afectadas. Detectar su presencia a tiempo permite aplicar las medidas de prevención y control más eficaces para limitar su expansión y minimizar sus efectos.</w:t>
      </w:r>
    </w:p>
    <w:p xmlns:wp14="http://schemas.microsoft.com/office/word/2010/wordml" w:rsidR="007208FF" w:rsidP="71D6AF29" w:rsidRDefault="001207BC" w14:paraId="3D877844" wp14:textId="77777777">
      <w:pPr>
        <w:spacing w:after="160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71D6AF29" w:rsidR="001207BC">
        <w:rPr>
          <w:rFonts w:ascii="Roboto" w:hAnsi="Roboto" w:eastAsia="Roboto" w:cs="Roboto"/>
          <w:sz w:val="22"/>
          <w:szCs w:val="22"/>
          <w:lang w:val="es-ES"/>
        </w:rPr>
        <w:t>Con esta acreditación, Laboratorios Tecnológicos de Levante</w:t>
      </w:r>
      <w:r w:rsidRPr="71D6AF29" w:rsidR="001207BC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ha demostrado tener la competencia técnica necesaria para llevar a cabo esta toma de muestras y estos ensayos y emitir resultados fiables </w:t>
      </w:r>
      <w:r w:rsidRPr="71D6AF29" w:rsidR="001207BC">
        <w:rPr>
          <w:rFonts w:ascii="Roboto" w:hAnsi="Roboto" w:eastAsia="Roboto" w:cs="Roboto"/>
          <w:sz w:val="22"/>
          <w:szCs w:val="22"/>
          <w:lang w:val="es-ES"/>
        </w:rPr>
        <w:t xml:space="preserve">aportando confianza en las acciones </w:t>
      </w:r>
      <w:r w:rsidRPr="71D6AF29" w:rsidR="001207BC">
        <w:rPr>
          <w:rFonts w:ascii="Roboto" w:hAnsi="Roboto" w:eastAsia="Roboto" w:cs="Roboto"/>
          <w:sz w:val="22"/>
          <w:szCs w:val="22"/>
          <w:lang w:val="es-ES"/>
        </w:rPr>
        <w:t>de  control</w:t>
      </w:r>
      <w:r w:rsidRPr="71D6AF29" w:rsidR="001207BC">
        <w:rPr>
          <w:rFonts w:ascii="Roboto" w:hAnsi="Roboto" w:eastAsia="Roboto" w:cs="Roboto"/>
          <w:sz w:val="22"/>
          <w:szCs w:val="22"/>
          <w:lang w:val="es-ES"/>
        </w:rPr>
        <w:t xml:space="preserve"> de esta especie invasora.</w:t>
      </w:r>
    </w:p>
    <w:p xmlns:wp14="http://schemas.microsoft.com/office/word/2010/wordml" w:rsidR="007208FF" w:rsidRDefault="007208FF" w14:paraId="6A05A809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208FF" w:rsidRDefault="001207BC" w14:paraId="69A1FD12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160"/>
        <w:jc w:val="both"/>
        <w:rPr>
          <w:rFonts w:ascii="Roboto" w:hAnsi="Roboto" w:eastAsia="Roboto" w:cs="Roboto"/>
          <w:color w:val="E83544"/>
          <w:sz w:val="22"/>
          <w:szCs w:val="22"/>
        </w:rPr>
      </w:pPr>
      <w:r>
        <w:rPr>
          <w:rFonts w:ascii="Roboto" w:hAnsi="Roboto" w:eastAsia="Roboto" w:cs="Roboto"/>
          <w:b/>
          <w:bCs/>
          <w:color w:val="E83544"/>
          <w:sz w:val="22"/>
          <w:szCs w:val="22"/>
        </w:rPr>
        <w:t>Sobre ENAC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7208FF" w:rsidRDefault="001207BC" w14:paraId="3DBFD2A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xmlns:wp14="http://schemas.microsoft.com/office/word/2010/wordml" w:rsidR="007208FF" w:rsidRDefault="007208FF" w14:paraId="5A39BBE3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208FF" w:rsidRDefault="001207BC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7208FF" w:rsidRDefault="007208FF" w14:paraId="41C8F396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208FF" w:rsidRDefault="001207BC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7208FF" w:rsidRDefault="007208FF" w14:paraId="72A3D3EC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208FF" w:rsidRDefault="007208FF" w14:paraId="0D0B940D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208FF" w:rsidRDefault="001207BC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1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7208FF" w:rsidRDefault="007208FF" w14:paraId="0E27B00A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208FF" w:rsidP="71D6AF29" w:rsidRDefault="001207BC" w14:paraId="54F9AE05" wp14:textId="38C54099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 w:rsidRPr="71D6AF29" w:rsidR="001207BC"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 w:rsidRPr="71D6AF29" w:rsidR="001207BC"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 w:rsidR="001207BC">
        <w:drawing>
          <wp:inline xmlns:wp14="http://schemas.microsoft.com/office/word/2010/wordprocessingDrawing" wp14:editId="4578F289" wp14:anchorId="68145121">
            <wp:extent cx="304800" cy="304800"/>
            <wp:effectExtent l="0" t="0" r="0" b="0"/>
            <wp:docPr id="891977083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7208FF" w:rsidRDefault="007208FF" w14:paraId="60061E4C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208FF" w:rsidRDefault="007208FF" w14:paraId="44EAFD9C" wp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208FF" w:rsidRDefault="001207BC" w14:paraId="70AF4A84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xmlns:wp14="http://schemas.microsoft.com/office/word/2010/wordml" w:rsidR="007208FF" w:rsidRDefault="001207BC" w14:paraId="527B165C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xmlns:wp14="http://schemas.microsoft.com/office/word/2010/wordml" w:rsidR="007208FF" w:rsidRDefault="001207BC" w14:paraId="0B05E5D0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xmlns:wp14="http://schemas.microsoft.com/office/word/2010/wordml" w:rsidR="007208FF" w:rsidRDefault="007208FF" w14:paraId="4B94D5A5" wp14:textId="77777777">
      <w:pPr>
        <w:spacing w:after="160"/>
        <w:jc w:val="both"/>
        <w:rPr>
          <w:rFonts w:ascii="Roboto" w:hAnsi="Roboto" w:eastAsia="Roboto" w:cs="Roboto"/>
          <w:color w:val="333333"/>
          <w:sz w:val="27"/>
          <w:szCs w:val="27"/>
          <w:highlight w:val="white"/>
        </w:rPr>
      </w:pPr>
    </w:p>
    <w:p xmlns:wp14="http://schemas.microsoft.com/office/word/2010/wordml" w:rsidR="007208FF" w:rsidRDefault="007208FF" w14:paraId="3DEEC669" wp14:textId="77777777"/>
    <w:p xmlns:wp14="http://schemas.microsoft.com/office/word/2010/wordml" w:rsidR="007208FF" w:rsidRDefault="007208FF" w14:paraId="3656B9AB" wp14:textId="77777777"/>
    <w:p xmlns:wp14="http://schemas.microsoft.com/office/word/2010/wordml" w:rsidR="007208FF" w:rsidRDefault="007208FF" w14:paraId="45FB0818" wp14:textId="77777777"/>
    <w:p xmlns:wp14="http://schemas.microsoft.com/office/word/2010/wordml" w:rsidR="007208FF" w:rsidRDefault="007208FF" w14:paraId="049F31CB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7208F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1417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207BC" w:rsidRDefault="001207BC" w14:paraId="4DDBEF00" wp14:textId="77777777">
      <w:r>
        <w:separator/>
      </w:r>
    </w:p>
  </w:endnote>
  <w:endnote w:type="continuationSeparator" w:id="0">
    <w:p xmlns:wp14="http://schemas.microsoft.com/office/word/2010/wordml" w:rsidR="001207BC" w:rsidRDefault="001207BC" w14:paraId="3461D779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8F4D0937-C59A-4BD8-9BC8-C25C6993C356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ADE3DDD-7C94-429A-B8F3-35F5E65208C3}" r:id="rId2"/>
    <w:embedBold w:fontKey="{9BA73330-73B1-4E8C-8FC0-3BF594A0456E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D763B55-8AE9-4909-9272-94800E7D19DF}" r:id="rId4"/>
    <w:embedBold w:fontKey="{A441C57E-634C-495F-BBC3-1C1CC43FD860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D71EA42-E0CB-4F0D-892A-A7460E586D11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208FF" w:rsidRDefault="007208FF" w14:paraId="62486C0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208FF" w:rsidRDefault="001207BC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7208FF" w:rsidRDefault="007208FF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208FF" w:rsidRDefault="007208FF" w14:paraId="4B99056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207BC" w:rsidRDefault="001207BC" w14:paraId="0FB78278" wp14:textId="77777777">
      <w:r>
        <w:separator/>
      </w:r>
    </w:p>
  </w:footnote>
  <w:footnote w:type="continuationSeparator" w:id="0">
    <w:p xmlns:wp14="http://schemas.microsoft.com/office/word/2010/wordml" w:rsidR="001207BC" w:rsidRDefault="001207BC" w14:paraId="1FC3994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208FF" w:rsidRDefault="007208FF" w14:paraId="1299C43A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208FF" w:rsidRDefault="001207BC" w14:paraId="646E68E2" wp14:textId="77777777">
    <w:pPr>
      <w:ind w:left="-120"/>
      <w:jc w:val="both"/>
      <w:rPr>
        <w:rFonts w:ascii="Calibri" w:hAnsi="Calibri" w:eastAsia="Calibri" w:cs="Calibri"/>
        <w:b/>
        <w:bCs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5464175" wp14:editId="7777777">
          <wp:simplePos x="0" y="0"/>
          <wp:positionH relativeFrom="column">
            <wp:posOffset>4358005</wp:posOffset>
          </wp:positionH>
          <wp:positionV relativeFrom="paragraph">
            <wp:posOffset>-305432</wp:posOffset>
          </wp:positionV>
          <wp:extent cx="1306195" cy="841375"/>
          <wp:effectExtent l="0" t="0" r="0" b="0"/>
          <wp:wrapSquare wrapText="bothSides" distT="114300" distB="114300" distL="114300" distR="114300"/>
          <wp:docPr id="8919770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6195" cy="841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7208FF" w:rsidRDefault="001207BC" w14:paraId="12ECC7C7" wp14:textId="77777777">
    <w:pPr>
      <w:ind w:left="-120"/>
      <w:jc w:val="both"/>
      <w:rPr>
        <w:rFonts w:ascii="Roboto" w:hAnsi="Roboto" w:eastAsia="Roboto" w:cs="Roboto"/>
        <w:sz w:val="22"/>
        <w:szCs w:val="22"/>
      </w:rPr>
    </w:pPr>
    <w:r>
      <w:rPr>
        <w:rFonts w:ascii="Roboto" w:hAnsi="Roboto" w:eastAsia="Roboto" w:cs="Roboto"/>
        <w:b/>
        <w:bCs/>
        <w:sz w:val="40"/>
        <w:szCs w:val="40"/>
      </w:rPr>
      <w:t>NOTA DE PRENSA</w:t>
    </w:r>
    <w:r>
      <w:rPr>
        <w:rFonts w:ascii="Roboto" w:hAnsi="Roboto" w:eastAsia="Roboto" w:cs="Roboto"/>
        <w:sz w:val="22"/>
        <w:szCs w:val="22"/>
      </w:rPr>
      <w:t xml:space="preserve"> </w:t>
    </w:r>
  </w:p>
  <w:p xmlns:wp14="http://schemas.microsoft.com/office/word/2010/wordml" w:rsidR="007208FF" w:rsidRDefault="007208FF" w14:paraId="4101652C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208FF" w:rsidRDefault="007208FF" w14:paraId="3CF2D8B6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524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732215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FF"/>
    <w:rsid w:val="001207BC"/>
    <w:rsid w:val="007208FF"/>
    <w:rsid w:val="00E66643"/>
    <w:rsid w:val="5D390E5F"/>
    <w:rsid w:val="65601AFD"/>
    <w:rsid w:val="71D6A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BE1007"/>
  <w15:docId w15:val="{13890858-6E4C-4EF8-83FF-B048D68EE47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9755B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A46C3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n">
    <w:name w:val="Revision"/>
    <w:hidden/>
    <w:uiPriority w:val="99"/>
    <w:semiHidden/>
    <w:rsid w:val="007858B3"/>
  </w:style>
  <w:style w:type="character" w:styleId="Hipervnculo">
    <w:name w:val="Hyperlink"/>
    <w:basedOn w:val="Fuentedeprrafopredeter"/>
    <w:uiPriority w:val="99"/>
    <w:unhideWhenUsed/>
    <w:rsid w:val="0061507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C215DA"/>
  </w:style>
  <w:style w:type="paragraph" w:styleId="Piedepgina">
    <w:name w:val="footer"/>
    <w:basedOn w:val="Normal"/>
    <w:link w:val="PiedepginaCar"/>
    <w:uiPriority w:val="99"/>
    <w:semiHidden/>
    <w:unhideWhenUsed/>
    <w:rsid w:val="00C215DA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C215DA"/>
  </w:style>
  <w:style w:type="character" w:styleId="Hipervnculovisitado">
    <w:name w:val="FollowedHyperlink"/>
    <w:basedOn w:val="Fuentedeprrafopredeter"/>
    <w:uiPriority w:val="99"/>
    <w:semiHidden/>
    <w:unhideWhenUsed/>
    <w:rsid w:val="00615075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1466CE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3A12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A12A1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3A12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12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A12A1"/>
    <w:rPr>
      <w:b/>
      <w:bCs/>
      <w:sz w:val="20"/>
      <w:szCs w:val="20"/>
    </w:rPr>
  </w:style>
  <w:style w:type="table" w:styleId="TableNormal10" w:customStyle="1">
    <w:name w:val="Table Normal1"/>
    <w:rsid w:val="00FB6A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enac.es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evamc@varenga.es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enac.es/" TargetMode="External" Id="R92399b9f9e794f5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un4nBJ/lE/vBamIFLVHskiPWsA==">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35b7714a55062d14d892f3522112704a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92a12215dc0792136b523b9589aa527d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EB62E7-47D3-49D6-95B5-8B1DC5E697D0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6B4464D2-10E1-4B2C-AADF-6AEF6A8731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DA70A4-BA81-4724-8CBD-771CFDDF15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Irene Gonzalez Fernandez</dc:creator>
  <lastModifiedBy>Elena Lendinez Leal</lastModifiedBy>
  <revision>3</revision>
  <dcterms:created xsi:type="dcterms:W3CDTF">2026-01-13T16:17:00.0000000Z</dcterms:created>
  <dcterms:modified xsi:type="dcterms:W3CDTF">2026-02-03T10:14:18.2004543Z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