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3F2F" w14:textId="77777777" w:rsidR="00D746B9" w:rsidRDefault="00D74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9273F30" w14:textId="77777777" w:rsidR="00D746B9" w:rsidRDefault="00D74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9273F31" w14:textId="24A3D687" w:rsidR="00D746B9" w:rsidRDefault="002F5DF9">
      <w:pPr>
        <w:spacing w:after="160" w:line="259" w:lineRule="auto"/>
        <w:jc w:val="center"/>
        <w:rPr>
          <w:sz w:val="36"/>
          <w:szCs w:val="36"/>
        </w:rPr>
      </w:pPr>
      <w:bookmarkStart w:id="0" w:name="_gjdgxs" w:colFirst="0" w:colLast="0"/>
      <w:bookmarkEnd w:id="0"/>
      <w:r w:rsidRPr="00685FB0">
        <w:rPr>
          <w:b/>
          <w:sz w:val="32"/>
          <w:szCs w:val="32"/>
        </w:rPr>
        <w:t xml:space="preserve">500 </w:t>
      </w:r>
      <w:r w:rsidR="009246AB" w:rsidRPr="00685FB0">
        <w:rPr>
          <w:b/>
          <w:sz w:val="32"/>
          <w:szCs w:val="32"/>
        </w:rPr>
        <w:t>e</w:t>
      </w:r>
      <w:r w:rsidR="009246AB">
        <w:rPr>
          <w:b/>
          <w:sz w:val="32"/>
          <w:szCs w:val="32"/>
        </w:rPr>
        <w:t xml:space="preserve">ntidades acreditadas por ENAC apoyan la consecución de los </w:t>
      </w:r>
      <w:r w:rsidR="00B81AF3">
        <w:rPr>
          <w:b/>
          <w:sz w:val="32"/>
          <w:szCs w:val="32"/>
        </w:rPr>
        <w:t xml:space="preserve">ODS en materia </w:t>
      </w:r>
      <w:r w:rsidR="009246AB">
        <w:rPr>
          <w:b/>
          <w:sz w:val="32"/>
          <w:szCs w:val="32"/>
        </w:rPr>
        <w:t xml:space="preserve">de seguridad alimentaria </w:t>
      </w:r>
    </w:p>
    <w:p w14:paraId="09273F32" w14:textId="53145595" w:rsidR="00D746B9" w:rsidRDefault="006466DF">
      <w:pPr>
        <w:numPr>
          <w:ilvl w:val="0"/>
          <w:numId w:val="1"/>
        </w:numPr>
        <w:spacing w:after="160" w:line="259" w:lineRule="auto"/>
        <w:jc w:val="both"/>
      </w:pPr>
      <w:r>
        <w:rPr>
          <w:b/>
        </w:rPr>
        <w:t xml:space="preserve">Bajo el lema “La inocuidad de los alimentos, un asunto de todos”, </w:t>
      </w:r>
      <w:r w:rsidR="009246AB">
        <w:rPr>
          <w:b/>
        </w:rPr>
        <w:t xml:space="preserve">el Día Mundial de la </w:t>
      </w:r>
      <w:r w:rsidR="00FB3B96">
        <w:rPr>
          <w:b/>
        </w:rPr>
        <w:t>Inocuidad de los Alimentos</w:t>
      </w:r>
      <w:r w:rsidR="009246AB">
        <w:rPr>
          <w:b/>
        </w:rPr>
        <w:t xml:space="preserve"> se centra </w:t>
      </w:r>
      <w:r>
        <w:rPr>
          <w:b/>
        </w:rPr>
        <w:t xml:space="preserve">este año </w:t>
      </w:r>
      <w:r w:rsidR="009246AB">
        <w:rPr>
          <w:b/>
        </w:rPr>
        <w:t xml:space="preserve">en </w:t>
      </w:r>
      <w:r>
        <w:rPr>
          <w:b/>
        </w:rPr>
        <w:t xml:space="preserve">resaltar </w:t>
      </w:r>
      <w:r w:rsidR="009246AB">
        <w:rPr>
          <w:b/>
        </w:rPr>
        <w:t>la importancia de</w:t>
      </w:r>
      <w:r>
        <w:rPr>
          <w:b/>
        </w:rPr>
        <w:t xml:space="preserve"> la</w:t>
      </w:r>
      <w:r w:rsidR="009246AB">
        <w:rPr>
          <w:b/>
        </w:rPr>
        <w:t xml:space="preserve"> </w:t>
      </w:r>
      <w:r w:rsidR="00FB3B96">
        <w:rPr>
          <w:b/>
        </w:rPr>
        <w:t>seguridad alimentaria</w:t>
      </w:r>
      <w:r w:rsidR="009246AB">
        <w:rPr>
          <w:b/>
        </w:rPr>
        <w:t xml:space="preserve"> para el control de enfermedades y alcanzar los ODS 1 y ODS 2 de </w:t>
      </w:r>
      <w:r w:rsidR="0049555B">
        <w:rPr>
          <w:b/>
        </w:rPr>
        <w:t xml:space="preserve">Naciones Unidas </w:t>
      </w:r>
    </w:p>
    <w:p w14:paraId="02258CA6" w14:textId="77777777" w:rsidR="001802A8" w:rsidRDefault="001802A8">
      <w:pPr>
        <w:jc w:val="both"/>
      </w:pPr>
    </w:p>
    <w:p w14:paraId="09273F34" w14:textId="2BF0E4E1" w:rsidR="00D746B9" w:rsidRDefault="009246AB">
      <w:pPr>
        <w:jc w:val="both"/>
      </w:pPr>
      <w:r>
        <w:t xml:space="preserve">Madrid, 7 de junio de 2021.- La inocuidad de los alimentos no solo es un elemento crucial para la seguridad alimentaria, sino que también desempeña un papel fundamental en la reducción de las enfermedades transmitidas por </w:t>
      </w:r>
      <w:r w:rsidR="00D14646">
        <w:t>el consumo de productos de alimentación</w:t>
      </w:r>
      <w:r>
        <w:t xml:space="preserve">. </w:t>
      </w:r>
      <w:r w:rsidR="009C310A">
        <w:t>Según</w:t>
      </w:r>
      <w:r w:rsidR="009C310A" w:rsidRPr="00842D83">
        <w:t xml:space="preserve"> </w:t>
      </w:r>
      <w:r w:rsidR="009C310A">
        <w:t xml:space="preserve">la </w:t>
      </w:r>
      <w:r w:rsidR="009C310A" w:rsidRPr="00D14646">
        <w:t>Organización de las Naciones Unidas para la Alimentación y la Agricultura</w:t>
      </w:r>
      <w:r w:rsidR="009C310A">
        <w:t xml:space="preserve"> (FAO) y la Organización Mundial de la Salud (OMS), cada año enferman 600 millones de personas debido a enfermedades transmitidas por los alimentos, que causan 420.000 muertes evitables. Es por ello que estas dos organizaciones, encargadas de impulsar e</w:t>
      </w:r>
      <w:r w:rsidR="00922433">
        <w:t xml:space="preserve">l </w:t>
      </w:r>
      <w:r w:rsidR="00922433">
        <w:rPr>
          <w:b/>
        </w:rPr>
        <w:t>Día Mundial de la Inocuidad de los Alimentos</w:t>
      </w:r>
      <w:r w:rsidR="009C310A">
        <w:rPr>
          <w:b/>
        </w:rPr>
        <w:t xml:space="preserve">, </w:t>
      </w:r>
      <w:r w:rsidR="0015105E">
        <w:rPr>
          <w:bCs/>
        </w:rPr>
        <w:t>han elegido</w:t>
      </w:r>
      <w:r w:rsidR="00E61386">
        <w:rPr>
          <w:bCs/>
        </w:rPr>
        <w:t xml:space="preserve"> </w:t>
      </w:r>
      <w:r w:rsidR="00E61386">
        <w:t>“</w:t>
      </w:r>
      <w:hyperlink r:id="rId10">
        <w:r w:rsidR="00E61386">
          <w:rPr>
            <w:color w:val="1155CC"/>
            <w:u w:val="single"/>
          </w:rPr>
          <w:t>La inocuidad de los alimentos es un asunto de todos</w:t>
        </w:r>
      </w:hyperlink>
      <w:r w:rsidR="00E61386">
        <w:t xml:space="preserve">” como tema central de esta iniciativa internacional </w:t>
      </w:r>
      <w:r w:rsidR="002F5DF9">
        <w:t xml:space="preserve">en </w:t>
      </w:r>
      <w:r w:rsidR="00AA382F">
        <w:t>2021</w:t>
      </w:r>
      <w:r w:rsidR="002F5DF9">
        <w:t>.</w:t>
      </w:r>
      <w:r w:rsidR="0015105E">
        <w:rPr>
          <w:bCs/>
        </w:rPr>
        <w:t xml:space="preserve"> </w:t>
      </w:r>
    </w:p>
    <w:p w14:paraId="09273F35" w14:textId="014A3BB9" w:rsidR="00D746B9" w:rsidRDefault="008D49EC">
      <w:pPr>
        <w:jc w:val="both"/>
      </w:pPr>
      <w:r>
        <w:t>Con respecto a la</w:t>
      </w:r>
      <w:r w:rsidR="00AA382F">
        <w:t xml:space="preserve"> </w:t>
      </w:r>
      <w:r w:rsidR="009246AB">
        <w:t xml:space="preserve">inocuidad </w:t>
      </w:r>
      <w:r w:rsidR="000E38C9">
        <w:t>de los alimentos</w:t>
      </w:r>
      <w:r>
        <w:t xml:space="preserve">, los consumidores pueden </w:t>
      </w:r>
      <w:r w:rsidR="000E38C9">
        <w:t xml:space="preserve">dudar sobre la seguridad de los </w:t>
      </w:r>
      <w:r w:rsidR="00C513E8">
        <w:t>productos</w:t>
      </w:r>
      <w:r w:rsidR="000E38C9">
        <w:t xml:space="preserve"> que se consumen, la fiabilidad del etiquetado de los alimentos, </w:t>
      </w:r>
      <w:r w:rsidR="00C513E8">
        <w:t>sus procesos de producción…</w:t>
      </w:r>
      <w:r w:rsidRPr="00A940FC">
        <w:t xml:space="preserve"> </w:t>
      </w:r>
      <w:r w:rsidR="009246AB">
        <w:t xml:space="preserve"> En este contexto, el mercado español, </w:t>
      </w:r>
      <w:r w:rsidR="00995DD4" w:rsidRPr="00BB1B89">
        <w:t xml:space="preserve">con </w:t>
      </w:r>
      <w:r w:rsidR="00BB1B89" w:rsidRPr="00BB1B89">
        <w:t>casi</w:t>
      </w:r>
      <w:r w:rsidR="00995DD4" w:rsidRPr="00BB1B89">
        <w:t xml:space="preserve"> 500</w:t>
      </w:r>
      <w:r w:rsidR="009246AB" w:rsidRPr="00BB1B89">
        <w:t xml:space="preserve"> entidades acreditadas por ENAC</w:t>
      </w:r>
      <w:r w:rsidR="009246AB">
        <w:t xml:space="preserve">, la </w:t>
      </w:r>
      <w:hyperlink r:id="rId11">
        <w:r w:rsidR="009246AB">
          <w:rPr>
            <w:color w:val="1155CC"/>
            <w:u w:val="single"/>
          </w:rPr>
          <w:t>Entidad Nacional de Acreditación</w:t>
        </w:r>
      </w:hyperlink>
      <w:r w:rsidR="009246AB">
        <w:t>, cuenta con una importante infraestructura para garantizar tanto la seguridad alimentaria, como la calidad de los productos, la garantía en la cadena de suministro y la información transparente al consumidor.</w:t>
      </w:r>
    </w:p>
    <w:p w14:paraId="62FC5E0C" w14:textId="77777777" w:rsidR="00C6114A" w:rsidRDefault="00C6114A">
      <w:pPr>
        <w:jc w:val="both"/>
      </w:pPr>
    </w:p>
    <w:p w14:paraId="09273F36" w14:textId="77777777" w:rsidR="00D746B9" w:rsidRDefault="009246AB">
      <w:pPr>
        <w:jc w:val="both"/>
        <w:rPr>
          <w:b/>
          <w:u w:val="single"/>
        </w:rPr>
      </w:pPr>
      <w:r>
        <w:rPr>
          <w:b/>
          <w:u w:val="single"/>
        </w:rPr>
        <w:t xml:space="preserve">¿Cómo contribuyen las entidades acreditadas a la seguridad alimentaria y los ODS? </w:t>
      </w:r>
    </w:p>
    <w:p w14:paraId="09273F37" w14:textId="54C9B8CB" w:rsidR="00D746B9" w:rsidRDefault="00230943">
      <w:pPr>
        <w:jc w:val="both"/>
      </w:pPr>
      <w:r>
        <w:t xml:space="preserve">Una </w:t>
      </w:r>
      <w:r w:rsidR="009246AB">
        <w:t xml:space="preserve">alimentación segura es esencial para </w:t>
      </w:r>
      <w:r w:rsidR="00F80EDE">
        <w:t>impulsar</w:t>
      </w:r>
      <w:r>
        <w:t xml:space="preserve"> </w:t>
      </w:r>
      <w:r w:rsidR="00F80EDE">
        <w:t>el bienestar</w:t>
      </w:r>
      <w:r w:rsidR="009246AB">
        <w:t xml:space="preserve"> de los consumidores y acabar con el hambre, dos de los Objetivos de Desarrollo Sostenible de la </w:t>
      </w:r>
      <w:r w:rsidR="001923A6">
        <w:t>ONU.</w:t>
      </w:r>
      <w:r w:rsidR="009246AB">
        <w:t xml:space="preserve"> Los servicios de evaluación de la conformidad acreditados por ENAC están contribuyendo a alcanzar las metas propuestas en estos objetivos desde muchas áreas de actividad. </w:t>
      </w:r>
    </w:p>
    <w:p w14:paraId="09273F38" w14:textId="7D1FF3DA" w:rsidR="00D746B9" w:rsidRDefault="00881213">
      <w:pPr>
        <w:jc w:val="both"/>
      </w:pPr>
      <w:r w:rsidRPr="0066743D">
        <w:rPr>
          <w:b/>
          <w:bCs/>
        </w:rPr>
        <w:t xml:space="preserve">Los 376 </w:t>
      </w:r>
      <w:r w:rsidR="009246AB" w:rsidRPr="00FF7100">
        <w:rPr>
          <w:b/>
          <w:bCs/>
        </w:rPr>
        <w:t>laboratorios</w:t>
      </w:r>
      <w:r w:rsidR="009246AB">
        <w:rPr>
          <w:b/>
        </w:rPr>
        <w:t xml:space="preserve"> acreditados</w:t>
      </w:r>
      <w:r w:rsidR="009246AB">
        <w:t xml:space="preserve"> contribuyen </w:t>
      </w:r>
      <w:r w:rsidR="008C3A6E">
        <w:t>tanto</w:t>
      </w:r>
      <w:r w:rsidR="00FF7100">
        <w:t xml:space="preserve"> </w:t>
      </w:r>
      <w:r w:rsidR="009246AB">
        <w:t xml:space="preserve">a garantizar la seguridad de los alimentos como a comprobar que </w:t>
      </w:r>
      <w:r w:rsidR="005D2562">
        <w:t>cumplen con los requisitos necesarios recogidos en</w:t>
      </w:r>
      <w:r w:rsidR="009246AB">
        <w:t xml:space="preserve"> denominaciones de venta o </w:t>
      </w:r>
      <w:r w:rsidR="005D2562">
        <w:t>para</w:t>
      </w:r>
      <w:r w:rsidR="009246AB">
        <w:t xml:space="preserve"> su clasificación en unas determinadas calidades. Ejemplos de actividades </w:t>
      </w:r>
      <w:r w:rsidR="00CA163D">
        <w:t xml:space="preserve">acreditadas relacionadas con la seguridad alimentaria </w:t>
      </w:r>
      <w:r w:rsidR="009246AB">
        <w:t>que están contribuyendo a alcanzar los ODS de Naciones Unidas son los ensayos para determinar la composición y características de los alimentos de cara a establecer la</w:t>
      </w:r>
      <w:r w:rsidR="009246AB" w:rsidRPr="0066743D">
        <w:t> información nutricional requerida</w:t>
      </w:r>
      <w:r w:rsidR="009246AB">
        <w:t xml:space="preserve">, </w:t>
      </w:r>
      <w:r w:rsidR="009246AB" w:rsidRPr="0066743D">
        <w:rPr>
          <w:b/>
        </w:rPr>
        <w:t>controlar la presencia de sustancias no deseables</w:t>
      </w:r>
      <w:r w:rsidR="009246AB">
        <w:t xml:space="preserve">, </w:t>
      </w:r>
      <w:r w:rsidR="009246AB" w:rsidRPr="00685FB0">
        <w:t>identificar la presencia de microorganismos que puedan originar trastornos deterioro de alimentos</w:t>
      </w:r>
      <w:r w:rsidR="009246AB">
        <w:rPr>
          <w:b/>
        </w:rPr>
        <w:t>,</w:t>
      </w:r>
      <w:r w:rsidR="009246AB">
        <w:t xml:space="preserve"> </w:t>
      </w:r>
      <w:r w:rsidR="009246AB" w:rsidRPr="00685FB0">
        <w:rPr>
          <w:b/>
        </w:rPr>
        <w:t>o detectar la presencia de alérgenos</w:t>
      </w:r>
      <w:r w:rsidR="009246AB">
        <w:rPr>
          <w:b/>
        </w:rPr>
        <w:t> </w:t>
      </w:r>
      <w:r w:rsidR="009246AB">
        <w:t>y otras sustancias que causan intolerancias como las debidas al gluten; los ensayos de </w:t>
      </w:r>
      <w:r w:rsidR="009246AB" w:rsidRPr="00685FB0">
        <w:t>control de los procesos de elaboración de alimentos para garantizar</w:t>
      </w:r>
      <w:r w:rsidR="009246AB">
        <w:rPr>
          <w:b/>
        </w:rPr>
        <w:t xml:space="preserve"> la higiene de los equipos de procesado</w:t>
      </w:r>
      <w:r w:rsidR="009246AB">
        <w:t xml:space="preserve">, así como para </w:t>
      </w:r>
      <w:r w:rsidR="009246AB">
        <w:lastRenderedPageBreak/>
        <w:t xml:space="preserve">determinar la </w:t>
      </w:r>
      <w:r w:rsidR="009246AB" w:rsidRPr="00685FB0">
        <w:rPr>
          <w:b/>
        </w:rPr>
        <w:t>inocuidad de materiales de envasado</w:t>
      </w:r>
      <w:r w:rsidR="009246AB">
        <w:t xml:space="preserve">; o los ensayos para la detección de las </w:t>
      </w:r>
      <w:r w:rsidR="009246AB" w:rsidRPr="00685FB0">
        <w:rPr>
          <w:b/>
        </w:rPr>
        <w:t>enfermedades de</w:t>
      </w:r>
      <w:r w:rsidR="009246AB">
        <w:t xml:space="preserve"> vigilancia obligatoria </w:t>
      </w:r>
      <w:r w:rsidR="009246AB" w:rsidRPr="00685FB0">
        <w:rPr>
          <w:b/>
        </w:rPr>
        <w:t>de animales</w:t>
      </w:r>
      <w:r w:rsidR="009246AB">
        <w:t xml:space="preserve"> (</w:t>
      </w:r>
      <w:r w:rsidR="00846877">
        <w:t>s</w:t>
      </w:r>
      <w:r w:rsidR="009246AB">
        <w:t xml:space="preserve">anidad Animal) </w:t>
      </w:r>
      <w:r w:rsidR="009246AB" w:rsidRPr="00685FB0">
        <w:rPr>
          <w:b/>
        </w:rPr>
        <w:t>y plantas</w:t>
      </w:r>
      <w:r w:rsidR="009246AB">
        <w:t xml:space="preserve"> (</w:t>
      </w:r>
      <w:r w:rsidR="00846877">
        <w:t>s</w:t>
      </w:r>
      <w:r w:rsidR="009246AB">
        <w:t>anidad Vegetal), como parte imprescindible en el adecuado diagnóstico de estas.</w:t>
      </w:r>
    </w:p>
    <w:p w14:paraId="09273F39" w14:textId="110BEEF6" w:rsidR="00D746B9" w:rsidRDefault="009246AB">
      <w:pPr>
        <w:jc w:val="both"/>
      </w:pPr>
      <w:r>
        <w:t xml:space="preserve">Por su parte, las </w:t>
      </w:r>
      <w:r w:rsidR="00881213" w:rsidRPr="004D3AAB">
        <w:rPr>
          <w:b/>
          <w:bCs/>
        </w:rPr>
        <w:t>120</w:t>
      </w:r>
      <w:r w:rsidR="00995DD4">
        <w:rPr>
          <w:b/>
          <w:color w:val="FF0000"/>
        </w:rPr>
        <w:t xml:space="preserve"> </w:t>
      </w:r>
      <w:r>
        <w:rPr>
          <w:b/>
        </w:rPr>
        <w:t>entidades de certificación e inspección acreditadas</w:t>
      </w:r>
      <w:r>
        <w:t xml:space="preserve"> en este sector aportan al consumidor final la confianza de que un producto cumple con ciertos requisitos </w:t>
      </w:r>
      <w:r w:rsidR="00846877">
        <w:t xml:space="preserve">establecidos en </w:t>
      </w:r>
      <w:r>
        <w:t xml:space="preserve">normas nacionales e internacionales. Están apoyando la consecución de los Objetivos de Desarrollo Sostenible las entidades acreditadas para la inspección del bienestar animal, que contribuyen a la calidad y la seguridad de los alimentos, a la </w:t>
      </w:r>
      <w:r>
        <w:rPr>
          <w:b/>
        </w:rPr>
        <w:t>prevención de la diseminación de enfermedades de los animales y a su tratamiento;</w:t>
      </w:r>
      <w:r>
        <w:t xml:space="preserve"> para la certificación de Producción Ecológica, aplicable a los procesos de producción en el campo y a los </w:t>
      </w:r>
      <w:r>
        <w:rPr>
          <w:b/>
        </w:rPr>
        <w:t xml:space="preserve">procesos de manipulación y transformación en la industria </w:t>
      </w:r>
      <w:r>
        <w:t xml:space="preserve">relacionada tanto con la alimentación humana como animal, así como productos procedentes de la acuicultura; y para la </w:t>
      </w:r>
      <w:r>
        <w:rPr>
          <w:b/>
        </w:rPr>
        <w:t>certificación de los sistemas de gestión de la seguridad alimentaria</w:t>
      </w:r>
      <w:r>
        <w:t xml:space="preserve"> de acuerdo con la norma ISO/IEC 22000, aplicables a cualquier organización implicada en la cadena alimentaria, por citar algunos ejemplos. </w:t>
      </w:r>
    </w:p>
    <w:p w14:paraId="127C7322" w14:textId="77777777" w:rsidR="00D966AD" w:rsidRDefault="00D96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</w:p>
    <w:p w14:paraId="09273F3A" w14:textId="464CFC6B" w:rsidR="00D746B9" w:rsidRDefault="00924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u w:val="single"/>
        </w:rPr>
      </w:pPr>
      <w:r>
        <w:rPr>
          <w:b/>
          <w:u w:val="single"/>
        </w:rPr>
        <w:t>Sobre ENAC</w:t>
      </w:r>
    </w:p>
    <w:p w14:paraId="09273F3B" w14:textId="77777777" w:rsidR="00D746B9" w:rsidRDefault="00D74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u w:val="single"/>
        </w:rPr>
      </w:pPr>
    </w:p>
    <w:p w14:paraId="09273F3C" w14:textId="710E796E" w:rsidR="00D746B9" w:rsidRDefault="00924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</w:t>
      </w:r>
    </w:p>
    <w:p w14:paraId="09273F3D" w14:textId="77777777" w:rsidR="00D746B9" w:rsidRDefault="00924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1F497D"/>
        </w:rPr>
        <w:t> </w:t>
      </w:r>
    </w:p>
    <w:p w14:paraId="09273F3E" w14:textId="77777777" w:rsidR="00D746B9" w:rsidRDefault="00924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09273F3F" w14:textId="77777777" w:rsidR="00D746B9" w:rsidRDefault="00924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 </w:t>
      </w:r>
    </w:p>
    <w:p w14:paraId="09273F41" w14:textId="4B59A629" w:rsidR="00D746B9" w:rsidRDefault="009246AB" w:rsidP="00D96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09273F42" w14:textId="77777777" w:rsidR="00D746B9" w:rsidRDefault="00D746B9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9273F43" w14:textId="77777777" w:rsidR="00D746B9" w:rsidRDefault="00D966AD">
      <w:pPr>
        <w:pBdr>
          <w:bottom w:val="single" w:sz="12" w:space="1" w:color="000000"/>
        </w:pBdr>
        <w:spacing w:after="0" w:line="240" w:lineRule="auto"/>
        <w:jc w:val="both"/>
      </w:pPr>
      <w:hyperlink r:id="rId12">
        <w:r w:rsidR="009246AB">
          <w:rPr>
            <w:color w:val="0000FF"/>
            <w:u w:val="single"/>
          </w:rPr>
          <w:t>www.enac.es</w:t>
        </w:r>
      </w:hyperlink>
      <w:r w:rsidR="009246AB">
        <w:t xml:space="preserve"> </w:t>
      </w:r>
    </w:p>
    <w:p w14:paraId="09273F44" w14:textId="77777777" w:rsidR="00D746B9" w:rsidRDefault="009246AB">
      <w:pPr>
        <w:pBdr>
          <w:bottom w:val="single" w:sz="12" w:space="1" w:color="000000"/>
        </w:pBd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273F4D" wp14:editId="09273F4E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0" b="0"/>
            <wp:wrapSquare wrapText="bothSides" distT="0" distB="0" distL="114300" distR="114300"/>
            <wp:docPr id="1" name="image2.png" descr="Descripción: Resultado de imagen de icono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pción: Resultado de imagen de icono linkedin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hidden="0" allowOverlap="1" wp14:anchorId="09273F4F" wp14:editId="09273F50">
            <wp:simplePos x="0" y="0"/>
            <wp:positionH relativeFrom="column">
              <wp:posOffset>3812</wp:posOffset>
            </wp:positionH>
            <wp:positionV relativeFrom="paragraph">
              <wp:posOffset>118110</wp:posOffset>
            </wp:positionV>
            <wp:extent cx="221615" cy="181610"/>
            <wp:effectExtent l="0" t="0" r="0" b="0"/>
            <wp:wrapSquare wrapText="bothSides" distT="0" distB="0" distL="114300" distR="114300"/>
            <wp:docPr id="2" name="image3.png" descr="Descripción: Resultado de imagen de icono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scripción: Resultado de imagen de icono twitter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273F45" w14:textId="77777777" w:rsidR="00D746B9" w:rsidRDefault="00D746B9">
      <w:pPr>
        <w:pBdr>
          <w:bottom w:val="single" w:sz="12" w:space="1" w:color="000000"/>
        </w:pBdr>
        <w:spacing w:after="0" w:line="240" w:lineRule="auto"/>
        <w:jc w:val="both"/>
      </w:pPr>
    </w:p>
    <w:p w14:paraId="09273F46" w14:textId="77777777" w:rsidR="00D746B9" w:rsidRDefault="00D746B9">
      <w:pPr>
        <w:pBdr>
          <w:bottom w:val="single" w:sz="12" w:space="1" w:color="000000"/>
        </w:pBdr>
        <w:spacing w:after="0" w:line="240" w:lineRule="auto"/>
        <w:jc w:val="both"/>
      </w:pPr>
    </w:p>
    <w:p w14:paraId="09273F47" w14:textId="77777777" w:rsidR="00D746B9" w:rsidRDefault="00D746B9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9273F48" w14:textId="77777777" w:rsidR="00D746B9" w:rsidRDefault="00D74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9273F49" w14:textId="77777777" w:rsidR="00D746B9" w:rsidRDefault="00924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Para más información sobre la nota de prensa, resolver dudas o gestionar entrevistas:</w:t>
      </w:r>
    </w:p>
    <w:p w14:paraId="09273F4A" w14:textId="77777777" w:rsidR="00D746B9" w:rsidRDefault="00924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Eva Martín</w:t>
      </w:r>
    </w:p>
    <w:p w14:paraId="09273F4C" w14:textId="6E7DF435" w:rsidR="00D746B9" w:rsidRDefault="009246AB" w:rsidP="00597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Tfno. 628 17 49 01 / </w:t>
      </w:r>
      <w:hyperlink r:id="rId15">
        <w:r>
          <w:rPr>
            <w:color w:val="0000FF"/>
            <w:u w:val="single"/>
          </w:rPr>
          <w:t>evamc@varenga.es</w:t>
        </w:r>
      </w:hyperlink>
      <w:r>
        <w:rPr>
          <w:color w:val="000000"/>
        </w:rPr>
        <w:t xml:space="preserve"> </w:t>
      </w:r>
      <w:r>
        <w:t xml:space="preserve"> </w:t>
      </w:r>
    </w:p>
    <w:sectPr w:rsidR="00D746B9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37BC" w14:textId="77777777" w:rsidR="00AB702D" w:rsidRDefault="00AB702D">
      <w:pPr>
        <w:spacing w:after="0" w:line="240" w:lineRule="auto"/>
      </w:pPr>
      <w:r>
        <w:separator/>
      </w:r>
    </w:p>
  </w:endnote>
  <w:endnote w:type="continuationSeparator" w:id="0">
    <w:p w14:paraId="7ABC5BBD" w14:textId="77777777" w:rsidR="00AB702D" w:rsidRDefault="00AB702D">
      <w:pPr>
        <w:spacing w:after="0" w:line="240" w:lineRule="auto"/>
      </w:pPr>
      <w:r>
        <w:continuationSeparator/>
      </w:r>
    </w:p>
  </w:endnote>
  <w:endnote w:type="continuationNotice" w:id="1">
    <w:p w14:paraId="6CF0B2B8" w14:textId="77777777" w:rsidR="00AB702D" w:rsidRDefault="00AB7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3F52" w14:textId="520AF8DC" w:rsidR="00D746B9" w:rsidRDefault="009246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A238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AC91" w14:textId="77777777" w:rsidR="00AB702D" w:rsidRDefault="00AB702D">
      <w:pPr>
        <w:spacing w:after="0" w:line="240" w:lineRule="auto"/>
      </w:pPr>
      <w:r>
        <w:separator/>
      </w:r>
    </w:p>
  </w:footnote>
  <w:footnote w:type="continuationSeparator" w:id="0">
    <w:p w14:paraId="22AFFFDF" w14:textId="77777777" w:rsidR="00AB702D" w:rsidRDefault="00AB702D">
      <w:pPr>
        <w:spacing w:after="0" w:line="240" w:lineRule="auto"/>
      </w:pPr>
      <w:r>
        <w:continuationSeparator/>
      </w:r>
    </w:p>
  </w:footnote>
  <w:footnote w:type="continuationNotice" w:id="1">
    <w:p w14:paraId="4272E24E" w14:textId="77777777" w:rsidR="00AB702D" w:rsidRDefault="00AB7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3F51" w14:textId="77777777" w:rsidR="00D746B9" w:rsidRDefault="009246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273F53" wp14:editId="09273F54">
          <wp:simplePos x="0" y="0"/>
          <wp:positionH relativeFrom="column">
            <wp:posOffset>4530090</wp:posOffset>
          </wp:positionH>
          <wp:positionV relativeFrom="paragraph">
            <wp:posOffset>-297178</wp:posOffset>
          </wp:positionV>
          <wp:extent cx="1324610" cy="73342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F0BFA"/>
    <w:multiLevelType w:val="multilevel"/>
    <w:tmpl w:val="45761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B9"/>
    <w:rsid w:val="000A575A"/>
    <w:rsid w:val="000E38C9"/>
    <w:rsid w:val="000F0DC6"/>
    <w:rsid w:val="000F2BC1"/>
    <w:rsid w:val="0015105E"/>
    <w:rsid w:val="00153154"/>
    <w:rsid w:val="001802A8"/>
    <w:rsid w:val="001923A6"/>
    <w:rsid w:val="002178AD"/>
    <w:rsid w:val="00230943"/>
    <w:rsid w:val="002F5DF9"/>
    <w:rsid w:val="003100EC"/>
    <w:rsid w:val="003671B8"/>
    <w:rsid w:val="004258F9"/>
    <w:rsid w:val="00427FA3"/>
    <w:rsid w:val="0049555B"/>
    <w:rsid w:val="004D3AAB"/>
    <w:rsid w:val="005372B1"/>
    <w:rsid w:val="00597C72"/>
    <w:rsid w:val="005D2562"/>
    <w:rsid w:val="005E256E"/>
    <w:rsid w:val="005F0B95"/>
    <w:rsid w:val="006466DF"/>
    <w:rsid w:val="0066743D"/>
    <w:rsid w:val="006749A9"/>
    <w:rsid w:val="00685FB0"/>
    <w:rsid w:val="006B4C37"/>
    <w:rsid w:val="00765F34"/>
    <w:rsid w:val="00782637"/>
    <w:rsid w:val="007873DD"/>
    <w:rsid w:val="008403B8"/>
    <w:rsid w:val="00842D83"/>
    <w:rsid w:val="00846877"/>
    <w:rsid w:val="00881213"/>
    <w:rsid w:val="008922C1"/>
    <w:rsid w:val="008C3A6E"/>
    <w:rsid w:val="008D49EC"/>
    <w:rsid w:val="008E214C"/>
    <w:rsid w:val="00922433"/>
    <w:rsid w:val="009246AB"/>
    <w:rsid w:val="00995DD4"/>
    <w:rsid w:val="009C310A"/>
    <w:rsid w:val="00A37408"/>
    <w:rsid w:val="00A8676F"/>
    <w:rsid w:val="00A940FC"/>
    <w:rsid w:val="00AA382F"/>
    <w:rsid w:val="00AB62C7"/>
    <w:rsid w:val="00AB702D"/>
    <w:rsid w:val="00B81AF3"/>
    <w:rsid w:val="00BA354E"/>
    <w:rsid w:val="00BB1B89"/>
    <w:rsid w:val="00C21933"/>
    <w:rsid w:val="00C513E8"/>
    <w:rsid w:val="00C6114A"/>
    <w:rsid w:val="00CA163D"/>
    <w:rsid w:val="00CB4719"/>
    <w:rsid w:val="00CF7F18"/>
    <w:rsid w:val="00D14646"/>
    <w:rsid w:val="00D746B9"/>
    <w:rsid w:val="00D966AD"/>
    <w:rsid w:val="00E208F3"/>
    <w:rsid w:val="00E5081C"/>
    <w:rsid w:val="00E61386"/>
    <w:rsid w:val="00EA238F"/>
    <w:rsid w:val="00ED4B62"/>
    <w:rsid w:val="00EE37DB"/>
    <w:rsid w:val="00F215EE"/>
    <w:rsid w:val="00F33799"/>
    <w:rsid w:val="00F80EDE"/>
    <w:rsid w:val="00FB3B96"/>
    <w:rsid w:val="00FC0B66"/>
    <w:rsid w:val="00FF7100"/>
    <w:rsid w:val="15755B7A"/>
    <w:rsid w:val="2B7F5D8B"/>
    <w:rsid w:val="347A56D4"/>
    <w:rsid w:val="35D63AC5"/>
    <w:rsid w:val="3B2016F7"/>
    <w:rsid w:val="44B4C14C"/>
    <w:rsid w:val="50FC17AE"/>
    <w:rsid w:val="66320AEE"/>
    <w:rsid w:val="754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3F2F"/>
  <w15:docId w15:val="{D59953C4-5555-401C-9FFD-218B1EFF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F33799"/>
    <w:pPr>
      <w:spacing w:after="0" w:line="240" w:lineRule="auto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826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26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26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26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263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0F2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78AD"/>
  </w:style>
  <w:style w:type="paragraph" w:styleId="Piedepgina">
    <w:name w:val="footer"/>
    <w:basedOn w:val="Normal"/>
    <w:link w:val="PiedepginaCar"/>
    <w:uiPriority w:val="99"/>
    <w:semiHidden/>
    <w:unhideWhenUsed/>
    <w:rsid w:val="000F2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78AD"/>
  </w:style>
  <w:style w:type="table" w:customStyle="1" w:styleId="TableNormal1">
    <w:name w:val="Table Normal1"/>
    <w:rsid w:val="008403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ac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ac.es" TargetMode="External"/><Relationship Id="rId5" Type="http://schemas.openxmlformats.org/officeDocument/2006/relationships/styles" Target="styles.xml"/><Relationship Id="rId15" Type="http://schemas.openxmlformats.org/officeDocument/2006/relationships/hyperlink" Target="mailto:evamc@varenga.es" TargetMode="External"/><Relationship Id="rId10" Type="http://schemas.openxmlformats.org/officeDocument/2006/relationships/hyperlink" Target="https://www.paho.org/es/campanas/dia-mundial-inocuidad-alimentos-202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0" ma:contentTypeDescription="Crear nuevo documento." ma:contentTypeScope="" ma:versionID="1ad5c42f14a43605b588c89f181eecdb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1cd2dc0501ed4977da37ee07d257d4a9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2EFF1-1737-4EBA-8B8A-825EAA5A9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60F6C1-9CB3-4ED2-92CF-4B4EF02B8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E8B37-43B6-496C-8F74-67531E1BC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952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Links>
    <vt:vector size="24" baseType="variant">
      <vt:variant>
        <vt:i4>7012444</vt:i4>
      </vt:variant>
      <vt:variant>
        <vt:i4>9</vt:i4>
      </vt:variant>
      <vt:variant>
        <vt:i4>0</vt:i4>
      </vt:variant>
      <vt:variant>
        <vt:i4>5</vt:i4>
      </vt:variant>
      <vt:variant>
        <vt:lpwstr>mailto:evamc@varenga.es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https://www.paho.org/es/campanas/dia-mundial-inocuidad-alimentos-2021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Denise Diaz Pozo</cp:lastModifiedBy>
  <cp:revision>59</cp:revision>
  <dcterms:created xsi:type="dcterms:W3CDTF">2021-06-01T11:56:00Z</dcterms:created>
  <dcterms:modified xsi:type="dcterms:W3CDTF">2021-06-07T09:25:00Z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