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FE10" w14:textId="77777777" w:rsidR="00DE08ED" w:rsidRDefault="001A6F70">
      <w:pPr>
        <w:pBdr>
          <w:top w:val="none" w:sz="0" w:space="3" w:color="000000"/>
          <w:bottom w:val="none" w:sz="0" w:space="3" w:color="000000"/>
          <w:between w:val="none" w:sz="0" w:space="3" w:color="000000"/>
        </w:pBdr>
        <w:shd w:val="clear" w:color="auto" w:fill="FFFFFF"/>
        <w:spacing w:line="360" w:lineRule="auto"/>
        <w:rPr>
          <w:rFonts w:ascii="Calibri" w:eastAsia="Calibri" w:hAnsi="Calibri" w:cs="Calibri"/>
          <w:b/>
          <w:u w:val="single"/>
        </w:rPr>
      </w:pPr>
      <w:r>
        <w:rPr>
          <w:rFonts w:ascii="Calibri" w:eastAsia="Calibri" w:hAnsi="Calibri" w:cs="Calibri"/>
          <w:b/>
          <w:u w:val="single"/>
        </w:rPr>
        <w:t>Día Internacional de la Seguridad de la Información</w:t>
      </w:r>
    </w:p>
    <w:p w14:paraId="08C0FE11" w14:textId="77777777" w:rsidR="00DE08ED" w:rsidRDefault="001A6F70">
      <w:pPr>
        <w:jc w:val="center"/>
        <w:rPr>
          <w:rFonts w:ascii="Roboto" w:eastAsia="Roboto" w:hAnsi="Roboto" w:cs="Roboto"/>
          <w:b/>
          <w:sz w:val="32"/>
          <w:szCs w:val="32"/>
        </w:rPr>
      </w:pPr>
      <w:r>
        <w:rPr>
          <w:rFonts w:ascii="Roboto" w:eastAsia="Roboto" w:hAnsi="Roboto" w:cs="Roboto"/>
          <w:b/>
          <w:sz w:val="32"/>
          <w:szCs w:val="32"/>
        </w:rPr>
        <w:t xml:space="preserve">La acreditación de ENAC continúa aportando valor a la ciberseguridad en España </w:t>
      </w:r>
    </w:p>
    <w:p w14:paraId="08C0FE12" w14:textId="77777777" w:rsidR="00DE08ED" w:rsidRDefault="00DE08ED">
      <w:pPr>
        <w:jc w:val="center"/>
        <w:rPr>
          <w:rFonts w:ascii="Roboto" w:eastAsia="Roboto" w:hAnsi="Roboto" w:cs="Roboto"/>
          <w:b/>
          <w:sz w:val="20"/>
          <w:szCs w:val="20"/>
        </w:rPr>
      </w:pPr>
    </w:p>
    <w:p w14:paraId="191B7D31" w14:textId="77777777" w:rsidR="001A6F70" w:rsidRDefault="001A6F70">
      <w:pPr>
        <w:jc w:val="both"/>
        <w:rPr>
          <w:rFonts w:ascii="Roboto" w:eastAsia="Roboto" w:hAnsi="Roboto" w:cs="Roboto"/>
          <w:b/>
          <w:sz w:val="20"/>
          <w:szCs w:val="20"/>
        </w:rPr>
      </w:pPr>
    </w:p>
    <w:p w14:paraId="08C0FE13" w14:textId="709ED9EE" w:rsidR="00DE08ED" w:rsidRDefault="001A6F70">
      <w:pPr>
        <w:jc w:val="both"/>
        <w:rPr>
          <w:rFonts w:ascii="Roboto" w:eastAsia="Roboto" w:hAnsi="Roboto" w:cs="Roboto"/>
          <w:b/>
          <w:sz w:val="20"/>
          <w:szCs w:val="20"/>
        </w:rPr>
      </w:pPr>
      <w:r>
        <w:rPr>
          <w:rFonts w:ascii="Roboto" w:eastAsia="Roboto" w:hAnsi="Roboto" w:cs="Roboto"/>
          <w:b/>
          <w:sz w:val="20"/>
          <w:szCs w:val="20"/>
        </w:rPr>
        <w:t>“La ayuda de ENAC ha sido y sigue siendo esencial para construir el modelo de confianza en el que está fundamentada la ciberseguridad pública”, Dr. Carlos Galán Pascual, asesor del Centro Criptológico Nacional, profesor de la Universidad Carlos III de Madr</w:t>
      </w:r>
      <w:r>
        <w:rPr>
          <w:rFonts w:ascii="Roboto" w:eastAsia="Roboto" w:hAnsi="Roboto" w:cs="Roboto"/>
          <w:b/>
          <w:sz w:val="20"/>
          <w:szCs w:val="20"/>
        </w:rPr>
        <w:t xml:space="preserve">id y experto de ENAC </w:t>
      </w:r>
    </w:p>
    <w:p w14:paraId="08C0FE14" w14:textId="77777777" w:rsidR="00DE08ED" w:rsidRDefault="00DE08ED">
      <w:pPr>
        <w:ind w:left="360"/>
        <w:jc w:val="both"/>
        <w:rPr>
          <w:rFonts w:ascii="Calibri" w:eastAsia="Calibri" w:hAnsi="Calibri" w:cs="Calibri"/>
          <w:b/>
          <w:sz w:val="22"/>
          <w:szCs w:val="22"/>
        </w:rPr>
      </w:pPr>
    </w:p>
    <w:p w14:paraId="08C0FE15" w14:textId="77777777" w:rsidR="00DE08ED" w:rsidRDefault="001A6F70">
      <w:pPr>
        <w:spacing w:after="200" w:line="276" w:lineRule="auto"/>
        <w:jc w:val="both"/>
        <w:rPr>
          <w:rFonts w:ascii="Roboto" w:eastAsia="Roboto" w:hAnsi="Roboto" w:cs="Roboto"/>
          <w:sz w:val="20"/>
          <w:szCs w:val="20"/>
        </w:rPr>
      </w:pPr>
      <w:r>
        <w:rPr>
          <w:rFonts w:ascii="Roboto" w:eastAsia="Roboto" w:hAnsi="Roboto" w:cs="Roboto"/>
          <w:sz w:val="20"/>
          <w:szCs w:val="20"/>
        </w:rPr>
        <w:t xml:space="preserve">Madrid, 30 de noviembre de 2022.- El </w:t>
      </w:r>
      <w:r>
        <w:rPr>
          <w:rFonts w:ascii="Roboto" w:eastAsia="Roboto" w:hAnsi="Roboto" w:cs="Roboto"/>
          <w:b/>
          <w:sz w:val="20"/>
          <w:szCs w:val="20"/>
        </w:rPr>
        <w:t>Día Internacional de la Seguridad de la Información (DISI)</w:t>
      </w:r>
      <w:r>
        <w:rPr>
          <w:rFonts w:ascii="Roboto" w:eastAsia="Roboto" w:hAnsi="Roboto" w:cs="Roboto"/>
          <w:sz w:val="20"/>
          <w:szCs w:val="20"/>
        </w:rPr>
        <w:t xml:space="preserve"> se celebra cada 30 de noviembre para concienciar de la importancia de proteger la información a través de una serie de </w:t>
      </w:r>
      <w:r>
        <w:rPr>
          <w:rFonts w:ascii="Roboto" w:eastAsia="Roboto" w:hAnsi="Roboto" w:cs="Roboto"/>
          <w:b/>
          <w:sz w:val="20"/>
          <w:szCs w:val="20"/>
        </w:rPr>
        <w:t>medidas de segurid</w:t>
      </w:r>
      <w:r>
        <w:rPr>
          <w:rFonts w:ascii="Roboto" w:eastAsia="Roboto" w:hAnsi="Roboto" w:cs="Roboto"/>
          <w:b/>
          <w:sz w:val="20"/>
          <w:szCs w:val="20"/>
        </w:rPr>
        <w:t>ad en los sistemas y entornos en los que se opera</w:t>
      </w:r>
      <w:r>
        <w:rPr>
          <w:rFonts w:ascii="Roboto" w:eastAsia="Roboto" w:hAnsi="Roboto" w:cs="Roboto"/>
          <w:sz w:val="20"/>
          <w:szCs w:val="20"/>
        </w:rPr>
        <w:t xml:space="preserve"> y adoptar buenas prácticas. </w:t>
      </w:r>
    </w:p>
    <w:p w14:paraId="08C0FE16" w14:textId="77777777" w:rsidR="00DE08ED" w:rsidRDefault="001A6F70">
      <w:pPr>
        <w:spacing w:after="160" w:line="259" w:lineRule="auto"/>
        <w:jc w:val="both"/>
        <w:rPr>
          <w:rFonts w:ascii="Roboto" w:eastAsia="Roboto" w:hAnsi="Roboto" w:cs="Roboto"/>
          <w:sz w:val="20"/>
          <w:szCs w:val="20"/>
        </w:rPr>
      </w:pPr>
      <w:r>
        <w:rPr>
          <w:rFonts w:ascii="Roboto" w:eastAsia="Roboto" w:hAnsi="Roboto" w:cs="Roboto"/>
          <w:sz w:val="20"/>
          <w:szCs w:val="20"/>
        </w:rPr>
        <w:t xml:space="preserve">Para el Dr. Carlos Galán, asesor del </w:t>
      </w:r>
      <w:hyperlink r:id="rId10">
        <w:r>
          <w:rPr>
            <w:rFonts w:ascii="Roboto" w:eastAsia="Roboto" w:hAnsi="Roboto" w:cs="Roboto"/>
            <w:b/>
            <w:color w:val="1155CC"/>
            <w:sz w:val="20"/>
            <w:szCs w:val="20"/>
            <w:u w:val="single"/>
          </w:rPr>
          <w:t>Centro Criptológico Nacional</w:t>
        </w:r>
      </w:hyperlink>
      <w:r>
        <w:rPr>
          <w:rFonts w:ascii="Roboto" w:eastAsia="Roboto" w:hAnsi="Roboto" w:cs="Roboto"/>
          <w:b/>
          <w:sz w:val="20"/>
          <w:szCs w:val="20"/>
        </w:rPr>
        <w:t>, profesor de la Universidad Ca</w:t>
      </w:r>
      <w:r>
        <w:rPr>
          <w:rFonts w:ascii="Roboto" w:eastAsia="Roboto" w:hAnsi="Roboto" w:cs="Roboto"/>
          <w:b/>
          <w:sz w:val="20"/>
          <w:szCs w:val="20"/>
        </w:rPr>
        <w:t xml:space="preserve">rlos III de Madrid y experto de la </w:t>
      </w:r>
      <w:hyperlink r:id="rId11">
        <w:r>
          <w:rPr>
            <w:rFonts w:ascii="Roboto" w:eastAsia="Roboto" w:hAnsi="Roboto" w:cs="Roboto"/>
            <w:b/>
            <w:color w:val="1155CC"/>
            <w:sz w:val="20"/>
            <w:szCs w:val="20"/>
            <w:u w:val="single"/>
          </w:rPr>
          <w:t>Entidad Nacional de Acreditación</w:t>
        </w:r>
      </w:hyperlink>
      <w:r>
        <w:rPr>
          <w:rFonts w:ascii="Roboto" w:eastAsia="Roboto" w:hAnsi="Roboto" w:cs="Roboto"/>
          <w:sz w:val="20"/>
          <w:szCs w:val="20"/>
        </w:rPr>
        <w:t xml:space="preserve"> (ENAC)</w:t>
      </w:r>
      <w:r>
        <w:rPr>
          <w:rFonts w:ascii="Roboto" w:eastAsia="Roboto" w:hAnsi="Roboto" w:cs="Roboto"/>
          <w:b/>
          <w:sz w:val="20"/>
          <w:szCs w:val="20"/>
        </w:rPr>
        <w:t xml:space="preserve"> </w:t>
      </w:r>
      <w:r>
        <w:rPr>
          <w:rFonts w:ascii="Roboto" w:eastAsia="Roboto" w:hAnsi="Roboto" w:cs="Roboto"/>
          <w:sz w:val="20"/>
          <w:szCs w:val="20"/>
        </w:rPr>
        <w:t>para el Esquema Nacional de Seguridad y el Reglamento (UE) de Identidad Electrónica y Servicios de Confianz</w:t>
      </w:r>
      <w:r>
        <w:rPr>
          <w:rFonts w:ascii="Roboto" w:eastAsia="Roboto" w:hAnsi="Roboto" w:cs="Roboto"/>
          <w:sz w:val="20"/>
          <w:szCs w:val="20"/>
        </w:rPr>
        <w:t>a, ante este escenario, “España, como el resto de países, necesita proveerse de mecanismos capaces de hacer frente y dar respuesta a la multiplicidad de incidentes y agresiones que, muchas veces de manera deliberada, desarrollan agentes hostiles, ya se tra</w:t>
      </w:r>
      <w:r>
        <w:rPr>
          <w:rFonts w:ascii="Roboto" w:eastAsia="Roboto" w:hAnsi="Roboto" w:cs="Roboto"/>
          <w:sz w:val="20"/>
          <w:szCs w:val="20"/>
        </w:rPr>
        <w:t xml:space="preserve">te de organizaciones delincuenciales, estados extranjeros que pretenden socavar nuestras instituciones o acceder a información estratégica” por lo que, en su opinión, “se hace necesario </w:t>
      </w:r>
      <w:r>
        <w:rPr>
          <w:rFonts w:ascii="Roboto" w:eastAsia="Roboto" w:hAnsi="Roboto" w:cs="Roboto"/>
          <w:b/>
          <w:sz w:val="20"/>
          <w:szCs w:val="20"/>
        </w:rPr>
        <w:t>disponer de métodos, procedimientos y herramientas para prevenir, dete</w:t>
      </w:r>
      <w:r>
        <w:rPr>
          <w:rFonts w:ascii="Roboto" w:eastAsia="Roboto" w:hAnsi="Roboto" w:cs="Roboto"/>
          <w:b/>
          <w:sz w:val="20"/>
          <w:szCs w:val="20"/>
        </w:rPr>
        <w:t>ctar y reaccionar a dichas agresiones,</w:t>
      </w:r>
      <w:r>
        <w:rPr>
          <w:rFonts w:ascii="Roboto" w:eastAsia="Roboto" w:hAnsi="Roboto" w:cs="Roboto"/>
          <w:sz w:val="20"/>
          <w:szCs w:val="20"/>
        </w:rPr>
        <w:t xml:space="preserve"> y mitigar el impacto de dichos ataques”. </w:t>
      </w:r>
    </w:p>
    <w:p w14:paraId="08C0FE17" w14:textId="77777777" w:rsidR="00DE08ED" w:rsidRDefault="001A6F70">
      <w:pPr>
        <w:spacing w:after="160" w:line="259" w:lineRule="auto"/>
        <w:jc w:val="both"/>
        <w:rPr>
          <w:rFonts w:ascii="Roboto" w:eastAsia="Roboto" w:hAnsi="Roboto" w:cs="Roboto"/>
          <w:sz w:val="20"/>
          <w:szCs w:val="20"/>
        </w:rPr>
      </w:pPr>
      <w:r>
        <w:rPr>
          <w:rFonts w:ascii="Roboto" w:eastAsia="Roboto" w:hAnsi="Roboto" w:cs="Roboto"/>
          <w:sz w:val="20"/>
          <w:szCs w:val="20"/>
        </w:rPr>
        <w:t xml:space="preserve">En este sentido, el </w:t>
      </w:r>
      <w:r>
        <w:rPr>
          <w:rFonts w:ascii="Roboto" w:eastAsia="Roboto" w:hAnsi="Roboto" w:cs="Roboto"/>
          <w:b/>
          <w:sz w:val="20"/>
          <w:szCs w:val="20"/>
        </w:rPr>
        <w:t>Esquema Nacional de Seguridad</w:t>
      </w:r>
      <w:r>
        <w:rPr>
          <w:rFonts w:ascii="Roboto" w:eastAsia="Roboto" w:hAnsi="Roboto" w:cs="Roboto"/>
          <w:sz w:val="20"/>
          <w:szCs w:val="20"/>
        </w:rPr>
        <w:t xml:space="preserve"> (ENS) fija los principios básicos y requisitos mínimos, así como las medidas de protección a implantar en los sistemas de la Administración Pública y también es aplicable a operadores del sector privado que prestan servicios o provean soluciones a entidad</w:t>
      </w:r>
      <w:r>
        <w:rPr>
          <w:rFonts w:ascii="Roboto" w:eastAsia="Roboto" w:hAnsi="Roboto" w:cs="Roboto"/>
          <w:sz w:val="20"/>
          <w:szCs w:val="20"/>
        </w:rPr>
        <w:t xml:space="preserve">es públicas. Para aportar las máximas garantías, se estableció la exigencia de la acreditación ENAC a las entidades certificadoras para poder actuar en el marco de dicho esquema. </w:t>
      </w:r>
    </w:p>
    <w:p w14:paraId="08C0FE18" w14:textId="77777777" w:rsidR="00DE08ED" w:rsidRDefault="001A6F70">
      <w:pPr>
        <w:spacing w:after="160" w:line="259" w:lineRule="auto"/>
        <w:jc w:val="both"/>
        <w:rPr>
          <w:rFonts w:ascii="Roboto" w:eastAsia="Roboto" w:hAnsi="Roboto" w:cs="Roboto"/>
          <w:sz w:val="20"/>
          <w:szCs w:val="20"/>
        </w:rPr>
      </w:pPr>
      <w:r>
        <w:rPr>
          <w:rFonts w:ascii="Roboto" w:eastAsia="Roboto" w:hAnsi="Roboto" w:cs="Roboto"/>
          <w:sz w:val="20"/>
          <w:szCs w:val="20"/>
        </w:rPr>
        <w:t>Para Galán, que ha participado en el equipo que lo ha redactado, el ENS “dot</w:t>
      </w:r>
      <w:r>
        <w:rPr>
          <w:rFonts w:ascii="Roboto" w:eastAsia="Roboto" w:hAnsi="Roboto" w:cs="Roboto"/>
          <w:sz w:val="20"/>
          <w:szCs w:val="20"/>
        </w:rPr>
        <w:t xml:space="preserve">a a los sistemas de información usados por las entidades de su ámbito de aplicación de las </w:t>
      </w:r>
      <w:r>
        <w:rPr>
          <w:rFonts w:ascii="Roboto" w:eastAsia="Roboto" w:hAnsi="Roboto" w:cs="Roboto"/>
          <w:b/>
          <w:sz w:val="20"/>
          <w:szCs w:val="20"/>
        </w:rPr>
        <w:t xml:space="preserve">mejores garantías para asegurar la disponibilidad de los servicios prestados por medios electrónicos, y la garantía de la integridad, confidencialidad, autenticidad </w:t>
      </w:r>
      <w:r>
        <w:rPr>
          <w:rFonts w:ascii="Roboto" w:eastAsia="Roboto" w:hAnsi="Roboto" w:cs="Roboto"/>
          <w:sz w:val="20"/>
          <w:szCs w:val="20"/>
        </w:rPr>
        <w:t xml:space="preserve">y trazabilidad de la información tratada”. Las bondades de este esquema son de aplicación tanto “a todas las entidades del sector público (administraciones públicas y sector público institucional), como a eso que se ha denominado “cadena de suministro”, y </w:t>
      </w:r>
      <w:r>
        <w:rPr>
          <w:rFonts w:ascii="Roboto" w:eastAsia="Roboto" w:hAnsi="Roboto" w:cs="Roboto"/>
          <w:sz w:val="20"/>
          <w:szCs w:val="20"/>
        </w:rPr>
        <w:t xml:space="preserve">que comprende a todas aquellas entidades privadas que participan en la prestación de servicios competenciales electrónicos a las entidades públicas”, añade. </w:t>
      </w:r>
    </w:p>
    <w:p w14:paraId="08C0FE19" w14:textId="77777777" w:rsidR="00DE08ED" w:rsidRDefault="001A6F70">
      <w:pPr>
        <w:jc w:val="both"/>
        <w:rPr>
          <w:rFonts w:ascii="Roboto" w:eastAsia="Roboto" w:hAnsi="Roboto" w:cs="Roboto"/>
          <w:b/>
          <w:sz w:val="20"/>
          <w:szCs w:val="20"/>
        </w:rPr>
      </w:pPr>
      <w:r>
        <w:rPr>
          <w:rFonts w:ascii="Roboto" w:eastAsia="Roboto" w:hAnsi="Roboto" w:cs="Roboto"/>
          <w:b/>
          <w:sz w:val="20"/>
          <w:szCs w:val="20"/>
        </w:rPr>
        <w:t>Pieza fundamental en la estrategia europea en ciberseguridad</w:t>
      </w:r>
    </w:p>
    <w:p w14:paraId="08C0FE1A" w14:textId="77777777" w:rsidR="00DE08ED" w:rsidRDefault="00DE08ED">
      <w:pPr>
        <w:jc w:val="both"/>
        <w:rPr>
          <w:rFonts w:ascii="Roboto" w:eastAsia="Roboto" w:hAnsi="Roboto" w:cs="Roboto"/>
          <w:b/>
          <w:sz w:val="20"/>
          <w:szCs w:val="20"/>
        </w:rPr>
      </w:pPr>
    </w:p>
    <w:p w14:paraId="08C0FE1B" w14:textId="77777777" w:rsidR="00DE08ED" w:rsidRDefault="001A6F70">
      <w:pPr>
        <w:jc w:val="both"/>
        <w:rPr>
          <w:rFonts w:ascii="Roboto" w:eastAsia="Roboto" w:hAnsi="Roboto" w:cs="Roboto"/>
          <w:sz w:val="20"/>
          <w:szCs w:val="20"/>
        </w:rPr>
      </w:pPr>
      <w:r>
        <w:rPr>
          <w:rFonts w:ascii="Roboto" w:eastAsia="Roboto" w:hAnsi="Roboto" w:cs="Roboto"/>
          <w:sz w:val="20"/>
          <w:szCs w:val="20"/>
        </w:rPr>
        <w:t>“La regulación europea”, continúa Ca</w:t>
      </w:r>
      <w:r>
        <w:rPr>
          <w:rFonts w:ascii="Roboto" w:eastAsia="Roboto" w:hAnsi="Roboto" w:cs="Roboto"/>
          <w:sz w:val="20"/>
          <w:szCs w:val="20"/>
        </w:rPr>
        <w:t>rlos Galán, “insiste en construir la ciberseguridad en base a mecanismos de adopción de medidas cuya correcta adecuación pueda ser constantemente evaluada”. En este sentido se sitúan el Reglamento (UE) 2019/881, más conocido como “</w:t>
      </w:r>
      <w:proofErr w:type="spellStart"/>
      <w:r>
        <w:fldChar w:fldCharType="begin"/>
      </w:r>
      <w:r>
        <w:instrText>HYPERLINK "https://www.</w:instrText>
      </w:r>
      <w:r>
        <w:instrText>enac.es/web/enac/cybersecurity-act-2019" \h</w:instrText>
      </w:r>
      <w:r>
        <w:fldChar w:fldCharType="separate"/>
      </w:r>
      <w:r>
        <w:rPr>
          <w:rFonts w:ascii="Roboto" w:eastAsia="Roboto" w:hAnsi="Roboto" w:cs="Roboto"/>
          <w:color w:val="1155CC"/>
          <w:sz w:val="20"/>
          <w:szCs w:val="20"/>
          <w:u w:val="single"/>
        </w:rPr>
        <w:t>Cybersecurity</w:t>
      </w:r>
      <w:proofErr w:type="spellEnd"/>
      <w:r>
        <w:rPr>
          <w:rFonts w:ascii="Roboto" w:eastAsia="Roboto" w:hAnsi="Roboto" w:cs="Roboto"/>
          <w:color w:val="1155CC"/>
          <w:sz w:val="20"/>
          <w:szCs w:val="20"/>
          <w:u w:val="single"/>
        </w:rPr>
        <w:t xml:space="preserve"> </w:t>
      </w:r>
      <w:proofErr w:type="spellStart"/>
      <w:r>
        <w:rPr>
          <w:rFonts w:ascii="Roboto" w:eastAsia="Roboto" w:hAnsi="Roboto" w:cs="Roboto"/>
          <w:color w:val="1155CC"/>
          <w:sz w:val="20"/>
          <w:szCs w:val="20"/>
          <w:u w:val="single"/>
        </w:rPr>
        <w:t>Act</w:t>
      </w:r>
      <w:proofErr w:type="spellEnd"/>
      <w:r>
        <w:rPr>
          <w:rFonts w:ascii="Roboto" w:eastAsia="Roboto" w:hAnsi="Roboto" w:cs="Roboto"/>
          <w:color w:val="1155CC"/>
          <w:sz w:val="20"/>
          <w:szCs w:val="20"/>
          <w:u w:val="single"/>
        </w:rPr>
        <w:fldChar w:fldCharType="end"/>
      </w:r>
      <w:r>
        <w:rPr>
          <w:rFonts w:ascii="Roboto" w:eastAsia="Roboto" w:hAnsi="Roboto" w:cs="Roboto"/>
          <w:sz w:val="20"/>
          <w:szCs w:val="20"/>
        </w:rPr>
        <w:t>”, que tiene el objetivo de reforzar la lucha contra las amenazas y ataques en materia de ciberseguridad, que otorga un papel central a la acreditación, ya que</w:t>
      </w:r>
      <w:r>
        <w:rPr>
          <w:rFonts w:ascii="Roboto" w:eastAsia="Roboto" w:hAnsi="Roboto" w:cs="Roboto"/>
          <w:sz w:val="20"/>
          <w:szCs w:val="20"/>
        </w:rPr>
        <w:t xml:space="preserve">  crea un marco europeo de certificación de la ciberseguridad con el objetivo de crear un mercado único digital para los productos, servicios y procesos de TIC en el que solo contempla la opción de la certificación acreditada, independientemente de quién s</w:t>
      </w:r>
      <w:r>
        <w:rPr>
          <w:rFonts w:ascii="Roboto" w:eastAsia="Roboto" w:hAnsi="Roboto" w:cs="Roboto"/>
          <w:sz w:val="20"/>
          <w:szCs w:val="20"/>
        </w:rPr>
        <w:t>ea el organismo de certificación que vaya a operar.</w:t>
      </w:r>
    </w:p>
    <w:p w14:paraId="08C0FE1D" w14:textId="77777777" w:rsidR="00DE08ED" w:rsidRDefault="00DE08ED">
      <w:pPr>
        <w:jc w:val="both"/>
        <w:rPr>
          <w:rFonts w:ascii="Roboto" w:eastAsia="Roboto" w:hAnsi="Roboto" w:cs="Roboto"/>
          <w:sz w:val="20"/>
          <w:szCs w:val="20"/>
        </w:rPr>
      </w:pPr>
    </w:p>
    <w:p w14:paraId="08C0FE1E" w14:textId="77777777" w:rsidR="00DE08ED" w:rsidRDefault="00DE08ED">
      <w:pPr>
        <w:jc w:val="both"/>
        <w:rPr>
          <w:rFonts w:ascii="Roboto" w:eastAsia="Roboto" w:hAnsi="Roboto" w:cs="Roboto"/>
          <w:sz w:val="20"/>
          <w:szCs w:val="20"/>
        </w:rPr>
      </w:pPr>
    </w:p>
    <w:p w14:paraId="08C0FE1F" w14:textId="28F7C725" w:rsidR="00DE08ED" w:rsidRDefault="001A6F70">
      <w:pPr>
        <w:jc w:val="both"/>
        <w:rPr>
          <w:rFonts w:ascii="Roboto" w:eastAsia="Roboto" w:hAnsi="Roboto" w:cs="Roboto"/>
          <w:sz w:val="20"/>
          <w:szCs w:val="20"/>
        </w:rPr>
      </w:pPr>
      <w:r>
        <w:rPr>
          <w:rFonts w:ascii="Roboto" w:eastAsia="Roboto" w:hAnsi="Roboto" w:cs="Roboto"/>
          <w:sz w:val="20"/>
          <w:szCs w:val="20"/>
        </w:rPr>
        <w:t>Asimismo, el  </w:t>
      </w:r>
      <w:hyperlink r:id="rId12">
        <w:r>
          <w:rPr>
            <w:rFonts w:ascii="Roboto" w:eastAsia="Roboto" w:hAnsi="Roboto" w:cs="Roboto"/>
            <w:color w:val="1155CC"/>
            <w:sz w:val="20"/>
            <w:szCs w:val="20"/>
            <w:u w:val="single"/>
          </w:rPr>
          <w:t>Reglamento (UE) nº</w:t>
        </w:r>
        <w:r>
          <w:rPr>
            <w:rFonts w:ascii="Roboto" w:eastAsia="Roboto" w:hAnsi="Roboto" w:cs="Roboto"/>
            <w:color w:val="1155CC"/>
            <w:sz w:val="20"/>
            <w:szCs w:val="20"/>
            <w:u w:val="single"/>
          </w:rPr>
          <w:t xml:space="preserve">910/2014, </w:t>
        </w:r>
        <w:proofErr w:type="spellStart"/>
        <w:r>
          <w:rPr>
            <w:rFonts w:ascii="Roboto" w:eastAsia="Roboto" w:hAnsi="Roboto" w:cs="Roboto"/>
            <w:color w:val="1155CC"/>
            <w:sz w:val="20"/>
            <w:szCs w:val="20"/>
            <w:u w:val="single"/>
          </w:rPr>
          <w:t>eIDAS</w:t>
        </w:r>
        <w:proofErr w:type="spellEnd"/>
      </w:hyperlink>
      <w:r>
        <w:rPr>
          <w:rFonts w:ascii="Roboto" w:eastAsia="Roboto" w:hAnsi="Roboto" w:cs="Roboto"/>
          <w:sz w:val="20"/>
          <w:szCs w:val="20"/>
        </w:rPr>
        <w:t>, para la identificación el</w:t>
      </w:r>
      <w:r>
        <w:rPr>
          <w:rFonts w:ascii="Roboto" w:eastAsia="Roboto" w:hAnsi="Roboto" w:cs="Roboto"/>
          <w:sz w:val="20"/>
          <w:szCs w:val="20"/>
        </w:rPr>
        <w:t>ectrónica y los servicios de confianza para las transacciones electrónicas en el mercado interior, ha establecido la acreditación para asegurar la competencia técnica, la operatividad e imparcialidad de los organismos que auditan y certifican a los proveed</w:t>
      </w:r>
      <w:r>
        <w:rPr>
          <w:rFonts w:ascii="Roboto" w:eastAsia="Roboto" w:hAnsi="Roboto" w:cs="Roboto"/>
          <w:sz w:val="20"/>
          <w:szCs w:val="20"/>
        </w:rPr>
        <w:t>ores de servicios de identificación electrónica.</w:t>
      </w:r>
    </w:p>
    <w:p w14:paraId="08C0FE20" w14:textId="77777777" w:rsidR="00DE08ED" w:rsidRDefault="00DE08ED">
      <w:pPr>
        <w:jc w:val="both"/>
        <w:rPr>
          <w:rFonts w:ascii="Roboto" w:eastAsia="Roboto" w:hAnsi="Roboto" w:cs="Roboto"/>
          <w:sz w:val="20"/>
          <w:szCs w:val="20"/>
        </w:rPr>
      </w:pPr>
    </w:p>
    <w:p w14:paraId="08C0FE21" w14:textId="53CC3A91" w:rsidR="00DE08ED" w:rsidRDefault="001A6F70">
      <w:pPr>
        <w:jc w:val="both"/>
        <w:rPr>
          <w:rFonts w:ascii="Roboto" w:eastAsia="Roboto" w:hAnsi="Roboto" w:cs="Roboto"/>
          <w:sz w:val="20"/>
          <w:szCs w:val="20"/>
        </w:rPr>
      </w:pPr>
      <w:r>
        <w:rPr>
          <w:rFonts w:ascii="Roboto" w:eastAsia="Roboto" w:hAnsi="Roboto" w:cs="Roboto"/>
          <w:sz w:val="20"/>
          <w:szCs w:val="20"/>
        </w:rPr>
        <w:t xml:space="preserve">En esta actividad, los organismos de acreditación, y en este caso concreto ENAC, “se erige en una posición fundamental, como </w:t>
      </w:r>
      <w:r>
        <w:rPr>
          <w:rFonts w:ascii="Roboto" w:eastAsia="Roboto" w:hAnsi="Roboto" w:cs="Roboto"/>
          <w:b/>
          <w:sz w:val="20"/>
          <w:szCs w:val="20"/>
        </w:rPr>
        <w:t>garante máximo de la veracidad de las actuaciones y expresión de la confianza</w:t>
      </w:r>
      <w:r>
        <w:rPr>
          <w:rFonts w:ascii="Roboto" w:eastAsia="Roboto" w:hAnsi="Roboto" w:cs="Roboto"/>
          <w:sz w:val="20"/>
          <w:szCs w:val="20"/>
        </w:rPr>
        <w:t>”, c</w:t>
      </w:r>
      <w:r>
        <w:rPr>
          <w:rFonts w:ascii="Roboto" w:eastAsia="Roboto" w:hAnsi="Roboto" w:cs="Roboto"/>
          <w:sz w:val="20"/>
          <w:szCs w:val="20"/>
        </w:rPr>
        <w:t xml:space="preserve">oncluye el asesor del Centro Criptológico Nacional y experto de ENAC. </w:t>
      </w:r>
    </w:p>
    <w:p w14:paraId="08C0FE22" w14:textId="77777777" w:rsidR="00DE08ED" w:rsidRDefault="00DE08ED"/>
    <w:p w14:paraId="3C5A55EB" w14:textId="77777777" w:rsidR="001A6F70" w:rsidRDefault="001A6F70">
      <w:pPr>
        <w:spacing w:after="200" w:line="276" w:lineRule="auto"/>
        <w:jc w:val="both"/>
        <w:rPr>
          <w:rFonts w:ascii="Roboto" w:eastAsia="Roboto" w:hAnsi="Roboto" w:cs="Roboto"/>
          <w:b/>
          <w:color w:val="E83544"/>
          <w:sz w:val="20"/>
          <w:szCs w:val="20"/>
        </w:rPr>
      </w:pPr>
    </w:p>
    <w:p w14:paraId="08C0FE23" w14:textId="449FAA70" w:rsidR="00DE08ED" w:rsidRDefault="001A6F70">
      <w:pPr>
        <w:spacing w:after="200" w:line="276" w:lineRule="auto"/>
        <w:jc w:val="both"/>
        <w:rPr>
          <w:rFonts w:ascii="Roboto" w:eastAsia="Roboto" w:hAnsi="Roboto" w:cs="Roboto"/>
          <w:color w:val="E83544"/>
          <w:sz w:val="20"/>
          <w:szCs w:val="20"/>
        </w:rPr>
      </w:pPr>
      <w:r>
        <w:rPr>
          <w:rFonts w:ascii="Roboto" w:eastAsia="Roboto" w:hAnsi="Roboto" w:cs="Roboto"/>
          <w:b/>
          <w:color w:val="E83544"/>
          <w:sz w:val="20"/>
          <w:szCs w:val="20"/>
        </w:rPr>
        <w:t>Sobre ENAC</w:t>
      </w:r>
      <w:r>
        <w:rPr>
          <w:rFonts w:ascii="Roboto" w:eastAsia="Roboto" w:hAnsi="Roboto" w:cs="Roboto"/>
          <w:color w:val="E83544"/>
          <w:sz w:val="20"/>
          <w:szCs w:val="20"/>
        </w:rPr>
        <w:t xml:space="preserve"> </w:t>
      </w:r>
    </w:p>
    <w:p w14:paraId="08C0FE24" w14:textId="77777777" w:rsidR="00DE08ED" w:rsidRDefault="001A6F70">
      <w:pPr>
        <w:shd w:val="clear" w:color="auto" w:fill="FFFFFF"/>
        <w:jc w:val="both"/>
        <w:rPr>
          <w:rFonts w:ascii="Roboto" w:eastAsia="Roboto" w:hAnsi="Roboto" w:cs="Roboto"/>
          <w:sz w:val="20"/>
          <w:szCs w:val="20"/>
        </w:rPr>
      </w:pPr>
      <w:r>
        <w:rPr>
          <w:rFonts w:ascii="Roboto" w:eastAsia="Roboto" w:hAnsi="Roboto" w:cs="Roboto"/>
          <w:sz w:val="20"/>
          <w:szCs w:val="20"/>
        </w:rPr>
        <w:t>La Entidad Nacional de Acreditación – ENAC – es la entidad designada por el Gobierno para operar en España como el único Organismo Nacional de Acreditación, en aplicación del Reglamento (CE) nº765/2008 del Parlamento Europeo que regula el funcionamiento de</w:t>
      </w:r>
      <w:r>
        <w:rPr>
          <w:rFonts w:ascii="Roboto" w:eastAsia="Roboto" w:hAnsi="Roboto" w:cs="Roboto"/>
          <w:sz w:val="20"/>
          <w:szCs w:val="20"/>
        </w:rPr>
        <w:t xml:space="preserve"> la acreditación en Europa. </w:t>
      </w:r>
    </w:p>
    <w:p w14:paraId="08C0FE25" w14:textId="77777777" w:rsidR="00DE08ED" w:rsidRDefault="001A6F70">
      <w:pPr>
        <w:shd w:val="clear" w:color="auto" w:fill="FFFFFF"/>
        <w:jc w:val="both"/>
        <w:rPr>
          <w:rFonts w:ascii="Roboto" w:eastAsia="Roboto" w:hAnsi="Roboto" w:cs="Roboto"/>
          <w:color w:val="1F497D"/>
          <w:sz w:val="20"/>
          <w:szCs w:val="20"/>
        </w:rPr>
      </w:pPr>
      <w:r>
        <w:rPr>
          <w:rFonts w:ascii="Roboto" w:eastAsia="Roboto" w:hAnsi="Roboto" w:cs="Roboto"/>
          <w:color w:val="1F497D"/>
          <w:sz w:val="20"/>
          <w:szCs w:val="20"/>
        </w:rPr>
        <w:t> </w:t>
      </w:r>
      <w:r>
        <w:rPr>
          <w:rFonts w:ascii="Roboto" w:eastAsia="Roboto" w:hAnsi="Roboto" w:cs="Roboto"/>
          <w:color w:val="1F497D"/>
          <w:sz w:val="20"/>
          <w:szCs w:val="20"/>
        </w:rPr>
        <w:t xml:space="preserve"> </w:t>
      </w:r>
    </w:p>
    <w:p w14:paraId="08C0FE26" w14:textId="77777777" w:rsidR="00DE08ED" w:rsidRDefault="001A6F70">
      <w:pPr>
        <w:shd w:val="clear" w:color="auto" w:fill="FFFFFF"/>
        <w:jc w:val="both"/>
        <w:rPr>
          <w:rFonts w:ascii="Roboto" w:eastAsia="Roboto" w:hAnsi="Roboto" w:cs="Roboto"/>
          <w:sz w:val="20"/>
          <w:szCs w:val="20"/>
        </w:rPr>
      </w:pPr>
      <w:r>
        <w:rPr>
          <w:rFonts w:ascii="Roboto" w:eastAsia="Roboto" w:hAnsi="Roboto" w:cs="Roboto"/>
          <w:sz w:val="20"/>
          <w:szCs w:val="20"/>
        </w:rPr>
        <w:t>ENAC tiene como misión generar confianza en el mercado y en la sociedad evaluando, a través de un sistema conforme a normas internacionales, la competencia técnica de laboratorios de ensayo o calibración, entidades de inspección, entidades de certificación</w:t>
      </w:r>
      <w:r>
        <w:rPr>
          <w:rFonts w:ascii="Roboto" w:eastAsia="Roboto" w:hAnsi="Roboto" w:cs="Roboto"/>
          <w:sz w:val="20"/>
          <w:szCs w:val="20"/>
        </w:rPr>
        <w:t xml:space="preserve"> y verificadores medioambientales que desarrollen su actividad en cualquier sector: industria,  energía, medio ambiente, sanidad, alimentación, investigación, desarrollo e innovación, transportes, telecomunicaciones, turismo, servicios, construcción, etc. </w:t>
      </w:r>
      <w:r>
        <w:rPr>
          <w:rFonts w:ascii="Roboto" w:eastAsia="Roboto" w:hAnsi="Roboto" w:cs="Roboto"/>
          <w:sz w:val="20"/>
          <w:szCs w:val="20"/>
        </w:rPr>
        <w:t>Contribuye, así, a la seguridad y el bienestar de las personas, la calidad de los productos y servicios, la protección del medioambiente y, con ello, al aumento de la competitividad de los productos y servicios españoles y a una disminución de los costes p</w:t>
      </w:r>
      <w:r>
        <w:rPr>
          <w:rFonts w:ascii="Roboto" w:eastAsia="Roboto" w:hAnsi="Roboto" w:cs="Roboto"/>
          <w:sz w:val="20"/>
          <w:szCs w:val="20"/>
        </w:rPr>
        <w:t xml:space="preserve">ara la sociedad debidos a estas actividades.  </w:t>
      </w:r>
    </w:p>
    <w:p w14:paraId="08C0FE27" w14:textId="77777777" w:rsidR="00DE08ED" w:rsidRDefault="001A6F70">
      <w:pPr>
        <w:shd w:val="clear" w:color="auto" w:fill="FFFFFF"/>
        <w:jc w:val="both"/>
        <w:rPr>
          <w:rFonts w:ascii="Roboto" w:eastAsia="Roboto" w:hAnsi="Roboto" w:cs="Roboto"/>
          <w:sz w:val="20"/>
          <w:szCs w:val="20"/>
        </w:rPr>
      </w:pPr>
      <w:r>
        <w:rPr>
          <w:rFonts w:ascii="Roboto" w:eastAsia="Roboto" w:hAnsi="Roboto" w:cs="Roboto"/>
          <w:sz w:val="20"/>
          <w:szCs w:val="20"/>
        </w:rPr>
        <w:t> </w:t>
      </w:r>
      <w:r>
        <w:rPr>
          <w:rFonts w:ascii="Roboto" w:eastAsia="Roboto" w:hAnsi="Roboto" w:cs="Roboto"/>
          <w:sz w:val="20"/>
          <w:szCs w:val="20"/>
        </w:rPr>
        <w:t xml:space="preserve"> </w:t>
      </w:r>
    </w:p>
    <w:p w14:paraId="08C0FE28" w14:textId="77777777" w:rsidR="00DE08ED" w:rsidRDefault="001A6F70">
      <w:pPr>
        <w:shd w:val="clear" w:color="auto" w:fill="FFFFFF"/>
        <w:jc w:val="both"/>
        <w:rPr>
          <w:rFonts w:ascii="Roboto" w:eastAsia="Roboto" w:hAnsi="Roboto" w:cs="Roboto"/>
          <w:sz w:val="20"/>
          <w:szCs w:val="20"/>
        </w:rPr>
      </w:pPr>
      <w:r>
        <w:rPr>
          <w:rFonts w:ascii="Roboto" w:eastAsia="Roboto" w:hAnsi="Roboto" w:cs="Roboto"/>
          <w:sz w:val="20"/>
          <w:szCs w:val="20"/>
        </w:rPr>
        <w:t>La marca ENAC es la manera de distinguir si un certificado o informe está acreditado o no. Es la garantía de que la organización que lo emite es técnicamente competente para llevar a cabo la tarea que reali</w:t>
      </w:r>
      <w:r>
        <w:rPr>
          <w:rFonts w:ascii="Roboto" w:eastAsia="Roboto" w:hAnsi="Roboto" w:cs="Roboto"/>
          <w:sz w:val="20"/>
          <w:szCs w:val="20"/>
        </w:rPr>
        <w:t xml:space="preserve">za, y lo es tanto en España como en los 100 países en los que la marca de ENAC es reconocida y aceptada gracias a los acuerdos de reconocimiento que ENAC ha suscrito con las entidades de acreditación de esos países. </w:t>
      </w:r>
    </w:p>
    <w:p w14:paraId="08C0FE29" w14:textId="77777777" w:rsidR="00DE08ED" w:rsidRDefault="001A6F70">
      <w:pPr>
        <w:shd w:val="clear" w:color="auto" w:fill="FFFFFF"/>
        <w:jc w:val="both"/>
        <w:rPr>
          <w:rFonts w:ascii="Roboto" w:eastAsia="Roboto" w:hAnsi="Roboto" w:cs="Roboto"/>
          <w:sz w:val="20"/>
          <w:szCs w:val="20"/>
        </w:rPr>
      </w:pPr>
      <w:r>
        <w:rPr>
          <w:rFonts w:ascii="Roboto" w:eastAsia="Roboto" w:hAnsi="Roboto" w:cs="Roboto"/>
          <w:sz w:val="20"/>
          <w:szCs w:val="20"/>
        </w:rPr>
        <w:t xml:space="preserve"> </w:t>
      </w:r>
    </w:p>
    <w:p w14:paraId="08C0FE2A" w14:textId="77777777" w:rsidR="00DE08ED" w:rsidRDefault="001A6F70">
      <w:pPr>
        <w:pBdr>
          <w:bottom w:val="single" w:sz="12" w:space="1" w:color="000000"/>
        </w:pBdr>
        <w:jc w:val="both"/>
        <w:rPr>
          <w:rFonts w:ascii="Roboto" w:eastAsia="Roboto" w:hAnsi="Roboto" w:cs="Roboto"/>
          <w:color w:val="E83544"/>
          <w:sz w:val="20"/>
          <w:szCs w:val="20"/>
        </w:rPr>
      </w:pPr>
      <w:hyperlink r:id="rId13">
        <w:r>
          <w:rPr>
            <w:rFonts w:ascii="Roboto" w:eastAsia="Roboto" w:hAnsi="Roboto" w:cs="Roboto"/>
            <w:color w:val="E83544"/>
            <w:sz w:val="20"/>
            <w:szCs w:val="20"/>
            <w:u w:val="single"/>
          </w:rPr>
          <w:t>w</w:t>
        </w:r>
        <w:r>
          <w:rPr>
            <w:rFonts w:ascii="Roboto" w:eastAsia="Roboto" w:hAnsi="Roboto" w:cs="Roboto"/>
            <w:color w:val="E83544"/>
            <w:sz w:val="20"/>
            <w:szCs w:val="20"/>
            <w:u w:val="single"/>
          </w:rPr>
          <w:t>ww.enac.es</w:t>
        </w:r>
      </w:hyperlink>
      <w:r>
        <w:rPr>
          <w:rFonts w:ascii="Roboto" w:eastAsia="Roboto" w:hAnsi="Roboto" w:cs="Roboto"/>
          <w:color w:val="E83544"/>
          <w:sz w:val="20"/>
          <w:szCs w:val="20"/>
        </w:rPr>
        <w:t xml:space="preserve"> </w:t>
      </w:r>
    </w:p>
    <w:p w14:paraId="08C0FE2B" w14:textId="77777777" w:rsidR="00DE08ED" w:rsidRDefault="00DE08ED">
      <w:pPr>
        <w:pBdr>
          <w:bottom w:val="single" w:sz="12" w:space="1" w:color="000000"/>
        </w:pBdr>
        <w:jc w:val="both"/>
        <w:rPr>
          <w:rFonts w:ascii="Roboto" w:eastAsia="Roboto" w:hAnsi="Roboto" w:cs="Roboto"/>
          <w:color w:val="E83544"/>
          <w:sz w:val="20"/>
          <w:szCs w:val="20"/>
        </w:rPr>
      </w:pPr>
    </w:p>
    <w:p w14:paraId="08C0FE2C" w14:textId="77777777" w:rsidR="00DE08ED" w:rsidRDefault="001A6F70">
      <w:pPr>
        <w:pBdr>
          <w:bottom w:val="single" w:sz="12" w:space="1" w:color="000000"/>
        </w:pBdr>
        <w:jc w:val="both"/>
        <w:rPr>
          <w:rFonts w:ascii="Roboto" w:eastAsia="Roboto" w:hAnsi="Roboto" w:cs="Roboto"/>
          <w:sz w:val="20"/>
          <w:szCs w:val="20"/>
        </w:rPr>
      </w:pPr>
      <w:r>
        <w:rPr>
          <w:rFonts w:ascii="Roboto" w:eastAsia="Roboto" w:hAnsi="Roboto" w:cs="Roboto"/>
          <w:color w:val="0000FF"/>
          <w:sz w:val="20"/>
          <w:szCs w:val="20"/>
        </w:rPr>
        <w:t xml:space="preserve"> </w:t>
      </w:r>
      <w:r>
        <w:rPr>
          <w:rFonts w:ascii="Roboto" w:eastAsia="Roboto" w:hAnsi="Roboto" w:cs="Roboto"/>
          <w:noProof/>
          <w:color w:val="0000FF"/>
          <w:sz w:val="20"/>
          <w:szCs w:val="20"/>
        </w:rPr>
        <w:drawing>
          <wp:inline distT="0" distB="0" distL="0" distR="0" wp14:anchorId="08C0FE36" wp14:editId="08C0FE37">
            <wp:extent cx="304800" cy="3048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FF"/>
          <w:sz w:val="20"/>
          <w:szCs w:val="20"/>
        </w:rPr>
        <w:t xml:space="preserve">  </w:t>
      </w:r>
      <w:r>
        <w:rPr>
          <w:rFonts w:ascii="Roboto" w:eastAsia="Roboto" w:hAnsi="Roboto" w:cs="Roboto"/>
          <w:noProof/>
          <w:color w:val="0000FF"/>
          <w:sz w:val="20"/>
          <w:szCs w:val="20"/>
        </w:rPr>
        <w:drawing>
          <wp:inline distT="0" distB="0" distL="0" distR="0" wp14:anchorId="08C0FE38" wp14:editId="08C0FE39">
            <wp:extent cx="304800" cy="3048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04800" cy="304800"/>
                    </a:xfrm>
                    <a:prstGeom prst="rect">
                      <a:avLst/>
                    </a:prstGeom>
                    <a:ln/>
                  </pic:spPr>
                </pic:pic>
              </a:graphicData>
            </a:graphic>
          </wp:inline>
        </w:drawing>
      </w:r>
    </w:p>
    <w:p w14:paraId="08C0FE2D" w14:textId="77777777" w:rsidR="00DE08ED" w:rsidRDefault="00DE08ED">
      <w:pPr>
        <w:pBdr>
          <w:bottom w:val="single" w:sz="12" w:space="1" w:color="000000"/>
        </w:pBdr>
        <w:jc w:val="both"/>
        <w:rPr>
          <w:rFonts w:ascii="Roboto" w:eastAsia="Roboto" w:hAnsi="Roboto" w:cs="Roboto"/>
          <w:color w:val="E83544"/>
          <w:sz w:val="20"/>
          <w:szCs w:val="20"/>
        </w:rPr>
      </w:pPr>
    </w:p>
    <w:p w14:paraId="08C0FE2E" w14:textId="77777777" w:rsidR="00DE08ED" w:rsidRDefault="00DE08ED">
      <w:pPr>
        <w:jc w:val="both"/>
        <w:rPr>
          <w:rFonts w:ascii="Roboto" w:eastAsia="Roboto" w:hAnsi="Roboto" w:cs="Roboto"/>
          <w:color w:val="E83544"/>
          <w:sz w:val="20"/>
          <w:szCs w:val="20"/>
        </w:rPr>
      </w:pPr>
    </w:p>
    <w:p w14:paraId="08C0FE2F" w14:textId="77777777" w:rsidR="00DE08ED" w:rsidRDefault="001A6F70">
      <w:pPr>
        <w:jc w:val="both"/>
        <w:rPr>
          <w:rFonts w:ascii="Roboto" w:eastAsia="Roboto" w:hAnsi="Roboto" w:cs="Roboto"/>
          <w:sz w:val="20"/>
          <w:szCs w:val="20"/>
        </w:rPr>
      </w:pPr>
      <w:r>
        <w:rPr>
          <w:rFonts w:ascii="Roboto" w:eastAsia="Roboto" w:hAnsi="Roboto" w:cs="Roboto"/>
          <w:sz w:val="20"/>
          <w:szCs w:val="20"/>
        </w:rPr>
        <w:t>Para más información sobre la nota de prensa, resolver dudas o gestionar entrevistas</w:t>
      </w:r>
    </w:p>
    <w:p w14:paraId="08C0FE30" w14:textId="77777777" w:rsidR="00DE08ED" w:rsidRDefault="001A6F70">
      <w:pPr>
        <w:jc w:val="both"/>
        <w:rPr>
          <w:rFonts w:ascii="Roboto" w:eastAsia="Roboto" w:hAnsi="Roboto" w:cs="Roboto"/>
          <w:sz w:val="20"/>
          <w:szCs w:val="20"/>
        </w:rPr>
      </w:pPr>
      <w:r>
        <w:rPr>
          <w:rFonts w:ascii="Roboto" w:eastAsia="Roboto" w:hAnsi="Roboto" w:cs="Roboto"/>
          <w:sz w:val="20"/>
          <w:szCs w:val="20"/>
        </w:rPr>
        <w:t>Eva Martín</w:t>
      </w:r>
    </w:p>
    <w:p w14:paraId="08C0FE31" w14:textId="77777777" w:rsidR="00DE08ED" w:rsidRDefault="001A6F70">
      <w:pPr>
        <w:jc w:val="both"/>
        <w:rPr>
          <w:rFonts w:ascii="Roboto" w:eastAsia="Roboto" w:hAnsi="Roboto" w:cs="Roboto"/>
          <w:sz w:val="20"/>
          <w:szCs w:val="20"/>
        </w:rPr>
      </w:pPr>
      <w:r>
        <w:rPr>
          <w:rFonts w:ascii="Roboto" w:eastAsia="Roboto" w:hAnsi="Roboto" w:cs="Roboto"/>
          <w:sz w:val="20"/>
          <w:szCs w:val="20"/>
        </w:rPr>
        <w:t xml:space="preserve">Tfno. 628 17 49 01 / </w:t>
      </w:r>
      <w:r>
        <w:rPr>
          <w:rFonts w:ascii="Roboto" w:eastAsia="Roboto" w:hAnsi="Roboto" w:cs="Roboto"/>
          <w:color w:val="E83544"/>
          <w:sz w:val="20"/>
          <w:szCs w:val="20"/>
        </w:rPr>
        <w:t xml:space="preserve"> </w:t>
      </w:r>
      <w:hyperlink r:id="rId16">
        <w:r>
          <w:rPr>
            <w:rFonts w:ascii="Roboto" w:eastAsia="Roboto" w:hAnsi="Roboto" w:cs="Roboto"/>
            <w:color w:val="E83544"/>
            <w:sz w:val="20"/>
            <w:szCs w:val="20"/>
            <w:u w:val="single"/>
          </w:rPr>
          <w:t>evamc@varenga.es</w:t>
        </w:r>
      </w:hyperlink>
    </w:p>
    <w:p w14:paraId="08C0FE32" w14:textId="77777777" w:rsidR="00DE08ED" w:rsidRDefault="00DE08ED">
      <w:pPr>
        <w:spacing w:after="200" w:line="276" w:lineRule="auto"/>
        <w:rPr>
          <w:rFonts w:ascii="Roboto" w:eastAsia="Roboto" w:hAnsi="Roboto" w:cs="Roboto"/>
          <w:sz w:val="20"/>
          <w:szCs w:val="20"/>
        </w:rPr>
      </w:pPr>
    </w:p>
    <w:p w14:paraId="08C0FE33" w14:textId="77777777" w:rsidR="00DE08ED" w:rsidRDefault="00DE08ED">
      <w:pPr>
        <w:rPr>
          <w:rFonts w:ascii="Calibri" w:eastAsia="Calibri" w:hAnsi="Calibri" w:cs="Calibri"/>
          <w:b/>
          <w:sz w:val="22"/>
          <w:szCs w:val="22"/>
          <w:u w:val="single"/>
        </w:rPr>
      </w:pPr>
    </w:p>
    <w:p w14:paraId="08C0FE34" w14:textId="77777777" w:rsidR="00DE08ED" w:rsidRDefault="00DE08ED">
      <w:pPr>
        <w:jc w:val="both"/>
        <w:rPr>
          <w:rFonts w:ascii="Calibri" w:eastAsia="Calibri" w:hAnsi="Calibri" w:cs="Calibri"/>
          <w:b/>
          <w:sz w:val="22"/>
          <w:szCs w:val="22"/>
          <w:u w:val="single"/>
        </w:rPr>
      </w:pPr>
    </w:p>
    <w:p w14:paraId="08C0FE35" w14:textId="77777777" w:rsidR="00DE08ED" w:rsidRDefault="00DE08ED">
      <w:pPr>
        <w:pBdr>
          <w:top w:val="nil"/>
          <w:left w:val="nil"/>
          <w:bottom w:val="nil"/>
          <w:right w:val="nil"/>
          <w:between w:val="nil"/>
        </w:pBdr>
        <w:rPr>
          <w:rFonts w:ascii="Calibri" w:eastAsia="Calibri" w:hAnsi="Calibri" w:cs="Calibri"/>
          <w:highlight w:val="white"/>
        </w:rPr>
      </w:pPr>
    </w:p>
    <w:sectPr w:rsidR="00DE08ED">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5F73" w14:textId="77777777" w:rsidR="00FE65A1" w:rsidRDefault="00FE65A1">
      <w:r>
        <w:separator/>
      </w:r>
    </w:p>
  </w:endnote>
  <w:endnote w:type="continuationSeparator" w:id="0">
    <w:p w14:paraId="54DA1A9E" w14:textId="77777777" w:rsidR="00FE65A1" w:rsidRDefault="00FE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FE3E" w14:textId="77777777" w:rsidR="00DE08ED" w:rsidRDefault="00DE08E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FE3F" w14:textId="3A48B97B" w:rsidR="00DE08ED" w:rsidRDefault="001A6F70">
    <w:pPr>
      <w:pBdr>
        <w:top w:val="nil"/>
        <w:left w:val="nil"/>
        <w:bottom w:val="nil"/>
        <w:right w:val="nil"/>
        <w:between w:val="nil"/>
      </w:pBdr>
      <w:tabs>
        <w:tab w:val="center" w:pos="4252"/>
        <w:tab w:val="right" w:pos="8504"/>
      </w:tabs>
      <w:jc w:val="right"/>
      <w:rPr>
        <w:rFonts w:ascii="Roboto" w:eastAsia="Roboto" w:hAnsi="Roboto" w:cs="Roboto"/>
        <w:color w:val="000000"/>
        <w:sz w:val="20"/>
        <w:szCs w:val="20"/>
      </w:rPr>
    </w:pPr>
    <w:r>
      <w:rPr>
        <w:rFonts w:ascii="Roboto" w:eastAsia="Roboto" w:hAnsi="Roboto" w:cs="Roboto"/>
        <w:color w:val="000000"/>
        <w:sz w:val="20"/>
        <w:szCs w:val="20"/>
      </w:rPr>
      <w:fldChar w:fldCharType="begin"/>
    </w:r>
    <w:r>
      <w:rPr>
        <w:rFonts w:ascii="Roboto" w:eastAsia="Roboto" w:hAnsi="Roboto" w:cs="Roboto"/>
        <w:color w:val="000000"/>
        <w:sz w:val="20"/>
        <w:szCs w:val="20"/>
      </w:rPr>
      <w:instrText>PAGE</w:instrText>
    </w:r>
    <w:r>
      <w:rPr>
        <w:rFonts w:ascii="Roboto" w:eastAsia="Roboto" w:hAnsi="Roboto" w:cs="Roboto"/>
        <w:color w:val="000000"/>
        <w:sz w:val="20"/>
        <w:szCs w:val="20"/>
      </w:rPr>
      <w:fldChar w:fldCharType="separate"/>
    </w:r>
    <w:r w:rsidR="007F3AA0">
      <w:rPr>
        <w:rFonts w:ascii="Roboto" w:eastAsia="Roboto" w:hAnsi="Roboto" w:cs="Roboto"/>
        <w:noProof/>
        <w:color w:val="000000"/>
        <w:sz w:val="20"/>
        <w:szCs w:val="20"/>
      </w:rPr>
      <w:t>1</w:t>
    </w:r>
    <w:r>
      <w:rPr>
        <w:rFonts w:ascii="Roboto" w:eastAsia="Roboto" w:hAnsi="Roboto" w:cs="Roboto"/>
        <w:color w:val="000000"/>
        <w:sz w:val="20"/>
        <w:szCs w:val="20"/>
      </w:rPr>
      <w:fldChar w:fldCharType="end"/>
    </w:r>
  </w:p>
  <w:p w14:paraId="08C0FE40" w14:textId="77777777" w:rsidR="00DE08ED" w:rsidRDefault="00DE08E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FE42" w14:textId="77777777" w:rsidR="00DE08ED" w:rsidRDefault="00DE08E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147A" w14:textId="77777777" w:rsidR="00FE65A1" w:rsidRDefault="00FE65A1">
      <w:r>
        <w:separator/>
      </w:r>
    </w:p>
  </w:footnote>
  <w:footnote w:type="continuationSeparator" w:id="0">
    <w:p w14:paraId="3E1C43AE" w14:textId="77777777" w:rsidR="00FE65A1" w:rsidRDefault="00FE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FE3A" w14:textId="77777777" w:rsidR="00DE08ED" w:rsidRDefault="00DE08E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FE3B" w14:textId="77777777" w:rsidR="00DE08ED" w:rsidRDefault="001A6F70">
    <w:pPr>
      <w:ind w:left="-120"/>
      <w:jc w:val="both"/>
      <w:rPr>
        <w:rFonts w:ascii="Calibri" w:eastAsia="Calibri" w:hAnsi="Calibri" w:cs="Calibri"/>
        <w:b/>
        <w:sz w:val="40"/>
        <w:szCs w:val="40"/>
      </w:rPr>
    </w:pPr>
    <w:r>
      <w:rPr>
        <w:noProof/>
      </w:rPr>
      <w:drawing>
        <wp:anchor distT="114300" distB="114300" distL="114300" distR="114300" simplePos="0" relativeHeight="251658240" behindDoc="0" locked="0" layoutInCell="1" hidden="0" allowOverlap="1" wp14:anchorId="08C0FE43" wp14:editId="08C0FE44">
          <wp:simplePos x="0" y="0"/>
          <wp:positionH relativeFrom="column">
            <wp:posOffset>4114800</wp:posOffset>
          </wp:positionH>
          <wp:positionV relativeFrom="paragraph">
            <wp:posOffset>-304793</wp:posOffset>
          </wp:positionV>
          <wp:extent cx="1547842" cy="997267"/>
          <wp:effectExtent l="0" t="0" r="0" b="0"/>
          <wp:wrapSquare wrapText="bothSides" distT="114300" distB="11430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08C0FE3C" w14:textId="77777777" w:rsidR="00DE08ED" w:rsidRDefault="001A6F70">
    <w:pPr>
      <w:ind w:left="-120"/>
      <w:jc w:val="both"/>
      <w:rPr>
        <w:rFonts w:ascii="Roboto" w:eastAsia="Roboto" w:hAnsi="Roboto" w:cs="Roboto"/>
        <w:sz w:val="22"/>
        <w:szCs w:val="22"/>
      </w:rPr>
    </w:pPr>
    <w:r>
      <w:rPr>
        <w:rFonts w:ascii="Roboto" w:eastAsia="Roboto" w:hAnsi="Roboto" w:cs="Roboto"/>
        <w:b/>
        <w:sz w:val="40"/>
        <w:szCs w:val="40"/>
      </w:rPr>
      <w:t>NOTA DE PRENSA</w:t>
    </w:r>
    <w:r>
      <w:rPr>
        <w:rFonts w:ascii="Roboto" w:eastAsia="Roboto" w:hAnsi="Roboto" w:cs="Roboto"/>
        <w:sz w:val="22"/>
        <w:szCs w:val="22"/>
      </w:rPr>
      <w:t xml:space="preserve"> </w:t>
    </w:r>
  </w:p>
  <w:p w14:paraId="08C0FE3D" w14:textId="77777777" w:rsidR="00DE08ED" w:rsidRDefault="00DE08ED">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FE41" w14:textId="77777777" w:rsidR="00DE08ED" w:rsidRDefault="00DE08ED">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ED"/>
    <w:rsid w:val="001A6F70"/>
    <w:rsid w:val="00533667"/>
    <w:rsid w:val="007730D9"/>
    <w:rsid w:val="007F3AA0"/>
    <w:rsid w:val="00DE08ED"/>
    <w:rsid w:val="00FE65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FE10"/>
  <w15:docId w15:val="{8ED90062-D43A-40D6-A3B1-7ACB9080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A94715"/>
  </w:style>
  <w:style w:type="paragraph" w:styleId="Prrafodelista">
    <w:name w:val="List Paragraph"/>
    <w:basedOn w:val="Normal"/>
    <w:uiPriority w:val="34"/>
    <w:qFormat/>
    <w:rsid w:val="001C2C0E"/>
    <w:pPr>
      <w:ind w:left="720"/>
      <w:contextualSpacing/>
    </w:pPr>
  </w:style>
  <w:style w:type="paragraph" w:styleId="Encabezado">
    <w:name w:val="header"/>
    <w:basedOn w:val="Normal"/>
    <w:link w:val="EncabezadoCar"/>
    <w:uiPriority w:val="99"/>
    <w:semiHidden/>
    <w:unhideWhenUsed/>
    <w:rsid w:val="00595AA3"/>
    <w:pPr>
      <w:tabs>
        <w:tab w:val="center" w:pos="4252"/>
        <w:tab w:val="right" w:pos="8504"/>
      </w:tabs>
    </w:pPr>
  </w:style>
  <w:style w:type="character" w:customStyle="1" w:styleId="EncabezadoCar">
    <w:name w:val="Encabezado Car"/>
    <w:basedOn w:val="Fuentedeprrafopredeter"/>
    <w:link w:val="Encabezado"/>
    <w:uiPriority w:val="99"/>
    <w:semiHidden/>
    <w:rsid w:val="00595AA3"/>
  </w:style>
  <w:style w:type="paragraph" w:styleId="Piedepgina">
    <w:name w:val="footer"/>
    <w:basedOn w:val="Normal"/>
    <w:link w:val="PiedepginaCar"/>
    <w:uiPriority w:val="99"/>
    <w:semiHidden/>
    <w:unhideWhenUsed/>
    <w:rsid w:val="00595AA3"/>
    <w:pPr>
      <w:tabs>
        <w:tab w:val="center" w:pos="4252"/>
        <w:tab w:val="right" w:pos="8504"/>
      </w:tabs>
    </w:pPr>
  </w:style>
  <w:style w:type="character" w:customStyle="1" w:styleId="PiedepginaCar">
    <w:name w:val="Pie de página Car"/>
    <w:basedOn w:val="Fuentedeprrafopredeter"/>
    <w:link w:val="Piedepgina"/>
    <w:uiPriority w:val="99"/>
    <w:semiHidden/>
    <w:rsid w:val="00595AA3"/>
  </w:style>
  <w:style w:type="table" w:customStyle="1" w:styleId="TableNormal0">
    <w:name w:val="Table Normal"/>
    <w:rsid w:val="00595AA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ac.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enac.es/web/enac/acreditacion-prestadores-servicios-confianz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amc@varenga.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ac.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ccn-cert.cni.es/"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UBB1mv+hIYtCyOdC1GsWAuq0Hww==">AMUW2mWXUB+AHm7WdHzQ9BTHCy8KoxuP8XRlGoixPCoYvOKww1UmxCtRCbnc0EJrvsRqpQGNaHgAO0g4pzcsCixJXcX13/2cy1H+r3qdR/A69fZa03deRj8=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08905-CA2E-460F-92C8-6094AA0F60AA}">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16AAF73-37E3-4CE1-8FF5-05DFA364E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1961F-38BA-476B-81F4-3A9041611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974</Words>
  <Characters>5358</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Gonzalez Fernandez</dc:creator>
  <cp:lastModifiedBy>Denise Diaz Pozo</cp:lastModifiedBy>
  <cp:revision>5</cp:revision>
  <dcterms:created xsi:type="dcterms:W3CDTF">2022-11-28T10:36:00Z</dcterms:created>
  <dcterms:modified xsi:type="dcterms:W3CDTF">2022-12-15T08:34:00Z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