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1" w:rsidRDefault="008F27F1" w:rsidP="005B04B8">
      <w:pPr>
        <w:rPr>
          <w:b/>
          <w:sz w:val="36"/>
        </w:rPr>
      </w:pPr>
    </w:p>
    <w:p w:rsidR="00D70ED7" w:rsidRPr="00FE7FA9" w:rsidRDefault="00F67E5D" w:rsidP="00FE7FA9">
      <w:pPr>
        <w:pStyle w:val="Sinespaciado"/>
        <w:jc w:val="center"/>
        <w:rPr>
          <w:rFonts w:asciiTheme="minorHAnsi" w:hAnsiTheme="minorHAnsi"/>
          <w:b/>
          <w:sz w:val="36"/>
          <w:szCs w:val="36"/>
        </w:rPr>
      </w:pPr>
      <w:r w:rsidRPr="00FE7FA9">
        <w:rPr>
          <w:rFonts w:asciiTheme="minorHAnsi" w:hAnsiTheme="minorHAnsi"/>
          <w:b/>
          <w:sz w:val="36"/>
          <w:szCs w:val="36"/>
        </w:rPr>
        <w:t xml:space="preserve">289 entidades acreditadas por ENAC </w:t>
      </w:r>
      <w:r w:rsidR="00083E5A" w:rsidRPr="00FE7FA9">
        <w:rPr>
          <w:rFonts w:asciiTheme="minorHAnsi" w:hAnsiTheme="minorHAnsi"/>
          <w:b/>
          <w:sz w:val="36"/>
          <w:szCs w:val="36"/>
        </w:rPr>
        <w:t>aportan las máximas garantías en el control de la seguridad y calidad</w:t>
      </w:r>
      <w:r w:rsidRPr="00FE7FA9">
        <w:rPr>
          <w:rFonts w:asciiTheme="minorHAnsi" w:hAnsiTheme="minorHAnsi"/>
          <w:b/>
          <w:sz w:val="36"/>
          <w:szCs w:val="36"/>
        </w:rPr>
        <w:t xml:space="preserve"> del agua</w:t>
      </w:r>
    </w:p>
    <w:p w:rsidR="00F64534" w:rsidRDefault="00F6453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701D1" w:rsidRPr="00642297" w:rsidRDefault="003C2CBC" w:rsidP="00F67E5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 acreditación es la</w:t>
      </w:r>
      <w:r w:rsidR="00F67E5D">
        <w:rPr>
          <w:rFonts w:asciiTheme="minorHAnsi" w:hAnsiTheme="minorHAnsi" w:cstheme="minorHAnsi"/>
          <w:b/>
        </w:rPr>
        <w:t xml:space="preserve"> herramienta</w:t>
      </w:r>
      <w:r w:rsidR="00F67E5D" w:rsidRPr="00F67E5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al servicio del mercado</w:t>
      </w:r>
      <w:r w:rsidRPr="00F67E5D">
        <w:rPr>
          <w:rFonts w:asciiTheme="minorHAnsi" w:hAnsiTheme="minorHAnsi" w:cstheme="minorHAnsi"/>
          <w:b/>
        </w:rPr>
        <w:t xml:space="preserve"> </w:t>
      </w:r>
      <w:r w:rsidR="00F67E5D" w:rsidRPr="00F67E5D">
        <w:rPr>
          <w:rFonts w:asciiTheme="minorHAnsi" w:hAnsiTheme="minorHAnsi" w:cstheme="minorHAnsi"/>
          <w:b/>
        </w:rPr>
        <w:t xml:space="preserve">para </w:t>
      </w:r>
      <w:r>
        <w:rPr>
          <w:rFonts w:asciiTheme="minorHAnsi" w:hAnsiTheme="minorHAnsi" w:cstheme="minorHAnsi"/>
          <w:b/>
        </w:rPr>
        <w:t>garantizar</w:t>
      </w:r>
      <w:r w:rsidRPr="00F67E5D">
        <w:rPr>
          <w:rFonts w:asciiTheme="minorHAnsi" w:hAnsiTheme="minorHAnsi" w:cstheme="minorHAnsi"/>
          <w:b/>
        </w:rPr>
        <w:t xml:space="preserve"> </w:t>
      </w:r>
      <w:r w:rsidR="00F67E5D" w:rsidRPr="00F67E5D">
        <w:rPr>
          <w:rFonts w:asciiTheme="minorHAnsi" w:hAnsiTheme="minorHAnsi" w:cstheme="minorHAnsi"/>
          <w:b/>
        </w:rPr>
        <w:t xml:space="preserve">que </w:t>
      </w:r>
      <w:r w:rsidR="00F67E5D">
        <w:rPr>
          <w:rFonts w:asciiTheme="minorHAnsi" w:hAnsiTheme="minorHAnsi" w:cstheme="minorHAnsi"/>
          <w:b/>
        </w:rPr>
        <w:t>los</w:t>
      </w:r>
      <w:r w:rsidR="00F67E5D" w:rsidRPr="00F67E5D">
        <w:rPr>
          <w:rFonts w:asciiTheme="minorHAnsi" w:hAnsiTheme="minorHAnsi" w:cstheme="minorHAnsi"/>
          <w:b/>
        </w:rPr>
        <w:t xml:space="preserve"> controles</w:t>
      </w:r>
      <w:r w:rsidR="00F67E5D">
        <w:rPr>
          <w:rFonts w:asciiTheme="minorHAnsi" w:hAnsiTheme="minorHAnsi" w:cstheme="minorHAnsi"/>
          <w:b/>
        </w:rPr>
        <w:t xml:space="preserve"> </w:t>
      </w:r>
      <w:r w:rsidR="00F67E5D" w:rsidRPr="00F67E5D">
        <w:rPr>
          <w:rFonts w:asciiTheme="minorHAnsi" w:hAnsiTheme="minorHAnsi" w:cstheme="minorHAnsi"/>
          <w:b/>
        </w:rPr>
        <w:t xml:space="preserve">son realizados por empresas con </w:t>
      </w:r>
      <w:r w:rsidR="00642297">
        <w:rPr>
          <w:rFonts w:asciiTheme="minorHAnsi" w:hAnsiTheme="minorHAnsi" w:cstheme="minorHAnsi"/>
          <w:b/>
        </w:rPr>
        <w:t>la capacidad técnica necesaria</w:t>
      </w:r>
    </w:p>
    <w:p w:rsidR="00F67E5D" w:rsidRDefault="00F67E5D" w:rsidP="00F67E5D">
      <w:pPr>
        <w:pStyle w:val="Prrafodelista"/>
        <w:jc w:val="both"/>
        <w:rPr>
          <w:rFonts w:asciiTheme="minorHAnsi" w:hAnsiTheme="minorHAnsi" w:cstheme="minorHAnsi"/>
        </w:rPr>
      </w:pPr>
    </w:p>
    <w:p w:rsidR="00B20C8B" w:rsidRDefault="0095399E" w:rsidP="00B76F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 de marzo de 201</w:t>
      </w:r>
      <w:r w:rsidR="00F67E5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.- </w:t>
      </w:r>
      <w:r w:rsidR="00642297">
        <w:rPr>
          <w:rFonts w:asciiTheme="minorHAnsi" w:hAnsiTheme="minorHAnsi" w:cstheme="minorHAnsi"/>
        </w:rPr>
        <w:t>El Día Mundial del Agua, que se celebra anualmente cada 22 de marzo</w:t>
      </w:r>
      <w:r w:rsidR="004C4E24">
        <w:rPr>
          <w:rFonts w:asciiTheme="minorHAnsi" w:hAnsiTheme="minorHAnsi" w:cstheme="minorHAnsi"/>
        </w:rPr>
        <w:t>,</w:t>
      </w:r>
      <w:r w:rsidR="00642297">
        <w:rPr>
          <w:rFonts w:asciiTheme="minorHAnsi" w:hAnsiTheme="minorHAnsi" w:cstheme="minorHAnsi"/>
        </w:rPr>
        <w:t xml:space="preserve"> </w:t>
      </w:r>
      <w:r w:rsidR="00BC308F">
        <w:rPr>
          <w:rFonts w:asciiTheme="minorHAnsi" w:hAnsiTheme="minorHAnsi" w:cstheme="minorHAnsi"/>
        </w:rPr>
        <w:t>resalta</w:t>
      </w:r>
      <w:r w:rsidR="00642297">
        <w:rPr>
          <w:rFonts w:asciiTheme="minorHAnsi" w:hAnsiTheme="minorHAnsi" w:cstheme="minorHAnsi"/>
        </w:rPr>
        <w:t xml:space="preserve"> la importancia de la gestión sostenible de</w:t>
      </w:r>
      <w:r w:rsidR="00BC308F">
        <w:rPr>
          <w:rFonts w:asciiTheme="minorHAnsi" w:hAnsiTheme="minorHAnsi" w:cstheme="minorHAnsi"/>
        </w:rPr>
        <w:t>l agua</w:t>
      </w:r>
      <w:r w:rsidR="00642297">
        <w:rPr>
          <w:rFonts w:asciiTheme="minorHAnsi" w:hAnsiTheme="minorHAnsi" w:cstheme="minorHAnsi"/>
        </w:rPr>
        <w:t xml:space="preserve">. Para garantizar la consecución de </w:t>
      </w:r>
      <w:r w:rsidR="00BC308F">
        <w:rPr>
          <w:rFonts w:asciiTheme="minorHAnsi" w:hAnsiTheme="minorHAnsi" w:cstheme="minorHAnsi"/>
        </w:rPr>
        <w:t>este objetivo</w:t>
      </w:r>
      <w:r w:rsidR="00642297">
        <w:rPr>
          <w:rFonts w:asciiTheme="minorHAnsi" w:hAnsiTheme="minorHAnsi" w:cstheme="minorHAnsi"/>
        </w:rPr>
        <w:t>, se requieren herramientas que garanticen</w:t>
      </w:r>
      <w:r w:rsidR="00B76F00">
        <w:rPr>
          <w:rFonts w:asciiTheme="minorHAnsi" w:hAnsiTheme="minorHAnsi" w:cstheme="minorHAnsi"/>
        </w:rPr>
        <w:t xml:space="preserve"> fiabilidad y confianza en </w:t>
      </w:r>
      <w:r w:rsidR="00B20C8B">
        <w:rPr>
          <w:rFonts w:asciiTheme="minorHAnsi" w:hAnsiTheme="minorHAnsi" w:cstheme="minorHAnsi"/>
        </w:rPr>
        <w:t>el control de</w:t>
      </w:r>
      <w:r w:rsidR="00B20C8B" w:rsidRPr="00DE3B48">
        <w:rPr>
          <w:rFonts w:asciiTheme="minorHAnsi" w:hAnsiTheme="minorHAnsi" w:cstheme="minorHAnsi"/>
        </w:rPr>
        <w:t xml:space="preserve"> </w:t>
      </w:r>
      <w:r w:rsidR="00B76F00" w:rsidRPr="00DE3B48">
        <w:rPr>
          <w:rFonts w:asciiTheme="minorHAnsi" w:hAnsiTheme="minorHAnsi" w:cstheme="minorHAnsi"/>
        </w:rPr>
        <w:t xml:space="preserve">calidad </w:t>
      </w:r>
      <w:r w:rsidR="00B76F00">
        <w:rPr>
          <w:rFonts w:asciiTheme="minorHAnsi" w:hAnsiTheme="minorHAnsi" w:cstheme="minorHAnsi"/>
        </w:rPr>
        <w:t>del agua</w:t>
      </w:r>
      <w:r w:rsidR="00B20C8B">
        <w:rPr>
          <w:rFonts w:asciiTheme="minorHAnsi" w:hAnsiTheme="minorHAnsi" w:cstheme="minorHAnsi"/>
        </w:rPr>
        <w:t>, una garantía que aportan las</w:t>
      </w:r>
      <w:r w:rsidR="00B76F00">
        <w:rPr>
          <w:rFonts w:asciiTheme="minorHAnsi" w:hAnsiTheme="minorHAnsi" w:cstheme="minorHAnsi"/>
        </w:rPr>
        <w:t xml:space="preserve"> </w:t>
      </w:r>
      <w:r w:rsidR="00B76F00" w:rsidRPr="005B04B8">
        <w:rPr>
          <w:rFonts w:asciiTheme="minorHAnsi" w:hAnsiTheme="minorHAnsi" w:cstheme="minorHAnsi"/>
          <w:b/>
        </w:rPr>
        <w:t xml:space="preserve">289 </w:t>
      </w:r>
      <w:r w:rsidR="00B76F00" w:rsidRPr="00B76F00">
        <w:rPr>
          <w:rFonts w:asciiTheme="minorHAnsi" w:hAnsiTheme="minorHAnsi" w:cstheme="minorHAnsi"/>
          <w:b/>
        </w:rPr>
        <w:t>entidades acreditadas</w:t>
      </w:r>
      <w:r w:rsidR="00B76F00">
        <w:rPr>
          <w:rFonts w:asciiTheme="minorHAnsi" w:hAnsiTheme="minorHAnsi" w:cstheme="minorHAnsi"/>
        </w:rPr>
        <w:t xml:space="preserve"> por la </w:t>
      </w:r>
      <w:hyperlink r:id="rId11" w:history="1">
        <w:r w:rsidR="00B76F00" w:rsidRPr="00DE2956">
          <w:rPr>
            <w:rStyle w:val="Hipervnculo"/>
            <w:rFonts w:asciiTheme="minorHAnsi" w:hAnsiTheme="minorHAnsi" w:cstheme="minorHAnsi"/>
            <w:b/>
          </w:rPr>
          <w:t>Entidad Nacional de Acreditación</w:t>
        </w:r>
      </w:hyperlink>
      <w:bookmarkStart w:id="0" w:name="_GoBack"/>
      <w:bookmarkEnd w:id="0"/>
      <w:r w:rsidR="00B76F00">
        <w:rPr>
          <w:rFonts w:asciiTheme="minorHAnsi" w:hAnsiTheme="minorHAnsi" w:cstheme="minorHAnsi"/>
        </w:rPr>
        <w:t xml:space="preserve"> (ENAC) </w:t>
      </w:r>
      <w:r w:rsidR="00B20C8B" w:rsidRPr="00DE2956">
        <w:rPr>
          <w:rFonts w:asciiTheme="minorHAnsi" w:hAnsiTheme="minorHAnsi" w:cstheme="minorHAnsi"/>
          <w:b/>
        </w:rPr>
        <w:t>para más de 350 actividades relacionadas con la evaluación de la seguridad y calidad del agua</w:t>
      </w:r>
      <w:r w:rsidR="00B20C8B">
        <w:rPr>
          <w:rFonts w:asciiTheme="minorHAnsi" w:hAnsiTheme="minorHAnsi" w:cstheme="minorHAnsi"/>
        </w:rPr>
        <w:t>.</w:t>
      </w:r>
    </w:p>
    <w:p w:rsidR="00B76F00" w:rsidRPr="00DE3B48" w:rsidRDefault="00B20C8B" w:rsidP="005B04B8">
      <w:pPr>
        <w:shd w:val="clear" w:color="auto" w:fill="FFFFFF"/>
        <w:spacing w:before="100" w:beforeAutospacing="1" w:after="75" w:line="3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Estas entidades</w:t>
      </w:r>
      <w:r w:rsidR="00B76F00">
        <w:rPr>
          <w:rFonts w:asciiTheme="minorHAnsi" w:hAnsiTheme="minorHAnsi" w:cstheme="minorHAnsi"/>
        </w:rPr>
        <w:t xml:space="preserve"> </w:t>
      </w:r>
      <w:r w:rsidR="00B76F00" w:rsidRPr="00DE3B48">
        <w:rPr>
          <w:rFonts w:asciiTheme="minorHAnsi" w:hAnsiTheme="minorHAnsi" w:cstheme="minorHAnsi"/>
        </w:rPr>
        <w:t>han demostrado</w:t>
      </w:r>
      <w:r w:rsidR="004B0038">
        <w:rPr>
          <w:rFonts w:asciiTheme="minorHAnsi" w:hAnsiTheme="minorHAnsi" w:cstheme="minorHAnsi"/>
        </w:rPr>
        <w:t xml:space="preserve"> a ENAC, entre otros</w:t>
      </w:r>
      <w:r w:rsidR="00AE5E95">
        <w:rPr>
          <w:rFonts w:asciiTheme="minorHAnsi" w:hAnsiTheme="minorHAnsi" w:cstheme="minorHAnsi"/>
        </w:rPr>
        <w:t xml:space="preserve"> requisitos</w:t>
      </w:r>
      <w:r w:rsidR="004B0038">
        <w:rPr>
          <w:rFonts w:asciiTheme="minorHAnsi" w:hAnsiTheme="minorHAnsi" w:cstheme="minorHAnsi"/>
        </w:rPr>
        <w:t>,</w:t>
      </w:r>
      <w:r w:rsidR="00B76F00" w:rsidRPr="00DE3B48">
        <w:rPr>
          <w:rFonts w:asciiTheme="minorHAnsi" w:hAnsiTheme="minorHAnsi" w:cstheme="minorHAnsi"/>
        </w:rPr>
        <w:t xml:space="preserve"> que </w:t>
      </w:r>
      <w:r>
        <w:rPr>
          <w:rFonts w:asciiTheme="minorHAnsi" w:hAnsiTheme="minorHAnsi" w:cstheme="minorHAnsi"/>
        </w:rPr>
        <w:t>c</w:t>
      </w:r>
      <w:r w:rsidRPr="005B04B8">
        <w:rPr>
          <w:rFonts w:asciiTheme="minorHAnsi" w:hAnsiTheme="minorHAnsi" w:cstheme="minorHAnsi"/>
        </w:rPr>
        <w:t>uentan con un personal con los conocimientos técnicos y la experiencia adecuados y</w:t>
      </w:r>
      <w:r w:rsidR="00BC308F">
        <w:rPr>
          <w:rFonts w:asciiTheme="minorHAnsi" w:hAnsiTheme="minorHAnsi" w:cstheme="minorHAnsi"/>
        </w:rPr>
        <w:t xml:space="preserve"> que</w:t>
      </w:r>
      <w:r w:rsidRPr="005B04B8">
        <w:rPr>
          <w:rFonts w:asciiTheme="minorHAnsi" w:hAnsiTheme="minorHAnsi" w:cstheme="minorHAnsi"/>
        </w:rPr>
        <w:t xml:space="preserve"> disponen del equipamiento y de las infraestructuras necesarios y apropiados para </w:t>
      </w:r>
      <w:r w:rsidR="00B76F00" w:rsidRPr="00DE3B48">
        <w:rPr>
          <w:rFonts w:asciiTheme="minorHAnsi" w:hAnsiTheme="minorHAnsi" w:cstheme="minorHAnsi"/>
        </w:rPr>
        <w:t xml:space="preserve">proporcionar un </w:t>
      </w:r>
      <w:r w:rsidR="00B76F00">
        <w:rPr>
          <w:rFonts w:asciiTheme="minorHAnsi" w:hAnsiTheme="minorHAnsi" w:cstheme="minorHAnsi"/>
        </w:rPr>
        <w:t xml:space="preserve">servicio </w:t>
      </w:r>
      <w:r>
        <w:rPr>
          <w:rFonts w:asciiTheme="minorHAnsi" w:hAnsiTheme="minorHAnsi" w:cstheme="minorHAnsi"/>
        </w:rPr>
        <w:t>competente</w:t>
      </w:r>
      <w:r w:rsidR="00B76F00">
        <w:rPr>
          <w:rFonts w:asciiTheme="minorHAnsi" w:hAnsiTheme="minorHAnsi" w:cstheme="minorHAnsi"/>
        </w:rPr>
        <w:t xml:space="preserve">, </w:t>
      </w:r>
      <w:r w:rsidR="00B76F00" w:rsidRPr="00DE3B48">
        <w:rPr>
          <w:rFonts w:asciiTheme="minorHAnsi" w:hAnsiTheme="minorHAnsi" w:cstheme="minorHAnsi"/>
        </w:rPr>
        <w:t xml:space="preserve">mediante un proceso de evaluación riguroso, transparente y con plena aceptación internacional: el proceso de acreditación. </w:t>
      </w:r>
    </w:p>
    <w:p w:rsidR="00B76F00" w:rsidRDefault="00B76F00" w:rsidP="006712D7">
      <w:pPr>
        <w:jc w:val="both"/>
        <w:rPr>
          <w:rFonts w:asciiTheme="minorHAnsi" w:hAnsiTheme="minorHAnsi" w:cstheme="minorHAnsi"/>
        </w:rPr>
      </w:pPr>
    </w:p>
    <w:p w:rsidR="00B5659D" w:rsidRPr="00A56720" w:rsidRDefault="00A87695" w:rsidP="00A5388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Garantía en t</w:t>
      </w:r>
      <w:r w:rsidRPr="00A56720">
        <w:rPr>
          <w:rFonts w:asciiTheme="minorHAnsi" w:hAnsiTheme="minorHAnsi" w:cstheme="minorHAnsi"/>
          <w:b/>
          <w:u w:val="single"/>
        </w:rPr>
        <w:t xml:space="preserve">odas </w:t>
      </w:r>
      <w:r w:rsidR="00A56720" w:rsidRPr="00A56720">
        <w:rPr>
          <w:rFonts w:asciiTheme="minorHAnsi" w:hAnsiTheme="minorHAnsi" w:cstheme="minorHAnsi"/>
          <w:b/>
          <w:u w:val="single"/>
        </w:rPr>
        <w:t>las fases</w:t>
      </w:r>
      <w:r w:rsidR="00E83385">
        <w:rPr>
          <w:rFonts w:asciiTheme="minorHAnsi" w:hAnsiTheme="minorHAnsi" w:cstheme="minorHAnsi"/>
          <w:b/>
          <w:u w:val="single"/>
        </w:rPr>
        <w:t xml:space="preserve"> del proceso de control</w:t>
      </w:r>
      <w:r w:rsidR="00A56720" w:rsidRPr="00A56720">
        <w:rPr>
          <w:rFonts w:asciiTheme="minorHAnsi" w:hAnsiTheme="minorHAnsi" w:cstheme="minorHAnsi"/>
          <w:b/>
          <w:u w:val="single"/>
        </w:rPr>
        <w:t xml:space="preserve"> </w:t>
      </w:r>
    </w:p>
    <w:p w:rsidR="001642E8" w:rsidRDefault="001642E8" w:rsidP="00A56720">
      <w:pPr>
        <w:pStyle w:val="Sinespaciado"/>
        <w:jc w:val="both"/>
        <w:rPr>
          <w:rFonts w:asciiTheme="minorHAnsi" w:hAnsiTheme="minorHAnsi"/>
        </w:rPr>
      </w:pPr>
    </w:p>
    <w:p w:rsidR="00A56720" w:rsidRPr="00EB5528" w:rsidRDefault="00A56720" w:rsidP="00A56720">
      <w:pPr>
        <w:pStyle w:val="Sinespaciado"/>
        <w:jc w:val="both"/>
        <w:rPr>
          <w:rFonts w:asciiTheme="minorHAnsi" w:hAnsiTheme="minorHAnsi"/>
        </w:rPr>
      </w:pPr>
      <w:r w:rsidRPr="00EB5528">
        <w:rPr>
          <w:rFonts w:asciiTheme="minorHAnsi" w:hAnsiTheme="minorHAnsi"/>
        </w:rPr>
        <w:t xml:space="preserve">El crecimiento cuantitativo de laboratorios y entidades de inspección acreditadas en </w:t>
      </w:r>
      <w:r w:rsidR="00BC308F">
        <w:rPr>
          <w:rFonts w:asciiTheme="minorHAnsi" w:hAnsiTheme="minorHAnsi"/>
        </w:rPr>
        <w:t>materia de</w:t>
      </w:r>
      <w:r w:rsidRPr="00EB5528">
        <w:rPr>
          <w:rFonts w:asciiTheme="minorHAnsi" w:hAnsiTheme="minorHAnsi"/>
        </w:rPr>
        <w:t xml:space="preserve"> aguas ha ido acompañado de una evolución en cuanto al tipo de actividades</w:t>
      </w:r>
      <w:r w:rsidR="00BC308F">
        <w:rPr>
          <w:rFonts w:asciiTheme="minorHAnsi" w:hAnsiTheme="minorHAnsi"/>
        </w:rPr>
        <w:t>,</w:t>
      </w:r>
      <w:r w:rsidRPr="00EB5528">
        <w:rPr>
          <w:rFonts w:asciiTheme="minorHAnsi" w:hAnsiTheme="minorHAnsi"/>
        </w:rPr>
        <w:t xml:space="preserve"> desde las más tradicionales –análisis físico-químicos y microbiológicos de aguas- hasta las más novedosas, como los análisis de radioactividad en aguas, los análisis para prevención y control de la legionellosis, los de toxicidad, o los análisis requeridos por la Directiva Marco de Aguas (DMA).</w:t>
      </w:r>
    </w:p>
    <w:p w:rsidR="00A56720" w:rsidRDefault="00A56720" w:rsidP="00A56720">
      <w:pPr>
        <w:jc w:val="both"/>
        <w:rPr>
          <w:rFonts w:ascii="Arial" w:hAnsi="Arial" w:cs="Arial"/>
          <w:sz w:val="22"/>
        </w:rPr>
      </w:pPr>
    </w:p>
    <w:p w:rsidR="00A66799" w:rsidRPr="004C4E24" w:rsidRDefault="00EB5528">
      <w:pPr>
        <w:jc w:val="both"/>
        <w:rPr>
          <w:rFonts w:asciiTheme="minorHAnsi" w:hAnsiTheme="minorHAnsi" w:cstheme="minorHAnsi"/>
        </w:rPr>
      </w:pPr>
      <w:r w:rsidRPr="005B04B8">
        <w:rPr>
          <w:rFonts w:asciiTheme="minorHAnsi" w:hAnsiTheme="minorHAnsi" w:cstheme="minorHAnsi"/>
        </w:rPr>
        <w:t>Actualmente,</w:t>
      </w:r>
      <w:r w:rsidRPr="005B04B8">
        <w:rPr>
          <w:rFonts w:asciiTheme="minorHAnsi" w:hAnsiTheme="minorHAnsi" w:cstheme="minorHAnsi"/>
          <w:b/>
        </w:rPr>
        <w:t xml:space="preserve"> 242 </w:t>
      </w:r>
      <w:r w:rsidR="00B55668" w:rsidRPr="00EB5528">
        <w:rPr>
          <w:rFonts w:asciiTheme="minorHAnsi" w:hAnsiTheme="minorHAnsi" w:cstheme="minorHAnsi"/>
          <w:b/>
        </w:rPr>
        <w:t>laboratorios</w:t>
      </w:r>
      <w:r w:rsidR="00B55668" w:rsidRPr="00DE3B48">
        <w:rPr>
          <w:rFonts w:asciiTheme="minorHAnsi" w:hAnsiTheme="minorHAnsi" w:cstheme="minorHAnsi"/>
        </w:rPr>
        <w:t xml:space="preserve"> públicos y privados </w:t>
      </w:r>
      <w:r>
        <w:rPr>
          <w:rFonts w:asciiTheme="minorHAnsi" w:hAnsiTheme="minorHAnsi" w:cstheme="minorHAnsi"/>
        </w:rPr>
        <w:t xml:space="preserve">están </w:t>
      </w:r>
      <w:r w:rsidR="00B55668" w:rsidRPr="00DE3B48">
        <w:rPr>
          <w:rFonts w:asciiTheme="minorHAnsi" w:hAnsiTheme="minorHAnsi" w:cstheme="minorHAnsi"/>
        </w:rPr>
        <w:t>acreditados</w:t>
      </w:r>
      <w:r>
        <w:rPr>
          <w:rFonts w:asciiTheme="minorHAnsi" w:hAnsiTheme="minorHAnsi" w:cstheme="minorHAnsi"/>
        </w:rPr>
        <w:t xml:space="preserve"> por ENAC y aportan </w:t>
      </w:r>
      <w:r w:rsidR="00B55668" w:rsidRPr="00DE3B48">
        <w:rPr>
          <w:rFonts w:asciiTheme="minorHAnsi" w:hAnsiTheme="minorHAnsi" w:cstheme="minorHAnsi"/>
        </w:rPr>
        <w:t xml:space="preserve"> la máxima </w:t>
      </w:r>
      <w:r w:rsidR="00B55668" w:rsidRPr="00A66799">
        <w:rPr>
          <w:rFonts w:asciiTheme="minorHAnsi" w:hAnsiTheme="minorHAnsi"/>
        </w:rPr>
        <w:t xml:space="preserve">confianza </w:t>
      </w:r>
      <w:r w:rsidR="003C2CBC">
        <w:rPr>
          <w:rFonts w:asciiTheme="minorHAnsi" w:hAnsiTheme="minorHAnsi"/>
        </w:rPr>
        <w:t>sobre el</w:t>
      </w:r>
      <w:r w:rsidR="00A66799" w:rsidRPr="005B04B8">
        <w:rPr>
          <w:rFonts w:asciiTheme="minorHAnsi" w:hAnsiTheme="minorHAnsi"/>
        </w:rPr>
        <w:t xml:space="preserve"> control analítico y </w:t>
      </w:r>
      <w:r w:rsidR="003C2CBC">
        <w:rPr>
          <w:rFonts w:asciiTheme="minorHAnsi" w:hAnsiTheme="minorHAnsi"/>
        </w:rPr>
        <w:t xml:space="preserve">de </w:t>
      </w:r>
      <w:r w:rsidR="00A66799" w:rsidRPr="005B04B8">
        <w:rPr>
          <w:rFonts w:asciiTheme="minorHAnsi" w:hAnsiTheme="minorHAnsi"/>
        </w:rPr>
        <w:t>la calidad del agua para cualquier uso</w:t>
      </w:r>
      <w:r w:rsidR="007A302C" w:rsidRPr="0059609A">
        <w:rPr>
          <w:rFonts w:asciiTheme="minorHAnsi" w:hAnsiTheme="minorHAnsi" w:cstheme="minorHAnsi"/>
        </w:rPr>
        <w:t xml:space="preserve">. </w:t>
      </w:r>
      <w:r w:rsidR="0059609A">
        <w:rPr>
          <w:rFonts w:asciiTheme="minorHAnsi" w:hAnsiTheme="minorHAnsi" w:cstheme="minorHAnsi"/>
        </w:rPr>
        <w:t>En este ámbito, c</w:t>
      </w:r>
      <w:r w:rsidR="0059609A" w:rsidRPr="004C4E24">
        <w:rPr>
          <w:rFonts w:asciiTheme="minorHAnsi" w:hAnsiTheme="minorHAnsi" w:cstheme="minorHAnsi"/>
        </w:rPr>
        <w:t xml:space="preserve">on el fin de </w:t>
      </w:r>
      <w:r w:rsidR="0059609A" w:rsidRPr="005B04B8">
        <w:rPr>
          <w:rFonts w:asciiTheme="minorHAnsi" w:hAnsiTheme="minorHAnsi" w:cstheme="minorHAnsi"/>
        </w:rPr>
        <w:t>simplificar la interpretación de los informes de resultados</w:t>
      </w:r>
      <w:r w:rsidR="00A87695">
        <w:rPr>
          <w:rFonts w:asciiTheme="minorHAnsi" w:hAnsiTheme="minorHAnsi" w:cstheme="minorHAnsi"/>
        </w:rPr>
        <w:t> </w:t>
      </w:r>
      <w:r w:rsidR="0059609A" w:rsidRPr="005B04B8">
        <w:rPr>
          <w:rFonts w:asciiTheme="minorHAnsi" w:hAnsiTheme="minorHAnsi" w:cstheme="minorHAnsi"/>
        </w:rPr>
        <w:t>tanto a los clientes de las entidades acreditadas como a los diferentes operadores económicos que necesitan esta información (como pueden ser los reguladores)</w:t>
      </w:r>
      <w:r w:rsidR="007A302C" w:rsidRPr="0059609A">
        <w:rPr>
          <w:rFonts w:asciiTheme="minorHAnsi" w:hAnsiTheme="minorHAnsi" w:cstheme="minorHAnsi"/>
        </w:rPr>
        <w:t xml:space="preserve">, ENAC </w:t>
      </w:r>
      <w:r w:rsidR="00F67E5D" w:rsidRPr="005B04B8">
        <w:rPr>
          <w:rFonts w:asciiTheme="minorHAnsi" w:hAnsiTheme="minorHAnsi" w:cstheme="minorHAnsi"/>
        </w:rPr>
        <w:t>ha</w:t>
      </w:r>
      <w:r w:rsidR="00A66799" w:rsidRPr="005B04B8">
        <w:rPr>
          <w:rFonts w:asciiTheme="minorHAnsi" w:hAnsiTheme="minorHAnsi" w:cstheme="minorHAnsi"/>
        </w:rPr>
        <w:t xml:space="preserve"> puesto a disposición del mercado una herramienta enfocada</w:t>
      </w:r>
      <w:r w:rsidR="0045678F" w:rsidRPr="005B04B8">
        <w:rPr>
          <w:rFonts w:asciiTheme="minorHAnsi" w:hAnsiTheme="minorHAnsi" w:cstheme="minorHAnsi"/>
        </w:rPr>
        <w:t xml:space="preserve"> a </w:t>
      </w:r>
      <w:r w:rsidR="00A66799" w:rsidRPr="005B04B8">
        <w:rPr>
          <w:rFonts w:asciiTheme="minorHAnsi" w:hAnsiTheme="minorHAnsi" w:cstheme="minorHAnsi"/>
        </w:rPr>
        <w:t xml:space="preserve"> </w:t>
      </w:r>
      <w:r w:rsidR="00C90873" w:rsidRPr="004C4E24">
        <w:rPr>
          <w:rFonts w:asciiTheme="minorHAnsi" w:hAnsiTheme="minorHAnsi" w:cstheme="minorHAnsi"/>
        </w:rPr>
        <w:t>identificar y seleccionar</w:t>
      </w:r>
      <w:r w:rsidR="0045678F" w:rsidRPr="005B04B8">
        <w:rPr>
          <w:rFonts w:asciiTheme="minorHAnsi" w:hAnsiTheme="minorHAnsi" w:cstheme="minorHAnsi"/>
        </w:rPr>
        <w:t xml:space="preserve"> de una forma más clara y ágil a los laboratorios que están acreditados </w:t>
      </w:r>
      <w:r w:rsidR="00C90873" w:rsidRPr="004C4E24">
        <w:rPr>
          <w:rFonts w:asciiTheme="minorHAnsi" w:hAnsiTheme="minorHAnsi" w:cstheme="minorHAnsi"/>
        </w:rPr>
        <w:t>para</w:t>
      </w:r>
      <w:r w:rsidR="0045678F" w:rsidRPr="005B04B8">
        <w:rPr>
          <w:rFonts w:asciiTheme="minorHAnsi" w:hAnsiTheme="minorHAnsi" w:cstheme="minorHAnsi"/>
        </w:rPr>
        <w:t xml:space="preserve"> </w:t>
      </w:r>
      <w:r w:rsidR="00C90873" w:rsidRPr="004C4E24">
        <w:rPr>
          <w:rFonts w:asciiTheme="minorHAnsi" w:hAnsiTheme="minorHAnsi" w:cstheme="minorHAnsi"/>
        </w:rPr>
        <w:t>el grupo de</w:t>
      </w:r>
      <w:r w:rsidR="0045678F" w:rsidRPr="005B04B8">
        <w:rPr>
          <w:rFonts w:asciiTheme="minorHAnsi" w:hAnsiTheme="minorHAnsi" w:cstheme="minorHAnsi"/>
        </w:rPr>
        <w:t xml:space="preserve"> ensayos requeridos </w:t>
      </w:r>
      <w:r w:rsidR="00C90873" w:rsidRPr="004C4E24">
        <w:rPr>
          <w:rFonts w:asciiTheme="minorHAnsi" w:hAnsiTheme="minorHAnsi" w:cstheme="minorHAnsi"/>
        </w:rPr>
        <w:t>para</w:t>
      </w:r>
      <w:r w:rsidR="00C90873" w:rsidRPr="00E83385">
        <w:rPr>
          <w:rFonts w:asciiTheme="minorHAnsi" w:hAnsiTheme="minorHAnsi" w:cstheme="minorHAnsi"/>
        </w:rPr>
        <w:t xml:space="preserve"> el</w:t>
      </w:r>
      <w:r w:rsidR="0045678F" w:rsidRPr="005B04B8">
        <w:rPr>
          <w:rFonts w:asciiTheme="minorHAnsi" w:hAnsiTheme="minorHAnsi" w:cstheme="minorHAnsi"/>
        </w:rPr>
        <w:t xml:space="preserve"> </w:t>
      </w:r>
      <w:r w:rsidR="00F67E5D" w:rsidRPr="005B04B8">
        <w:rPr>
          <w:rFonts w:asciiTheme="minorHAnsi" w:hAnsiTheme="minorHAnsi" w:cstheme="minorHAnsi"/>
        </w:rPr>
        <w:t xml:space="preserve">control </w:t>
      </w:r>
      <w:r w:rsidR="00C90873" w:rsidRPr="004C4E24">
        <w:rPr>
          <w:rFonts w:asciiTheme="minorHAnsi" w:hAnsiTheme="minorHAnsi" w:cstheme="minorHAnsi"/>
        </w:rPr>
        <w:t>integral</w:t>
      </w:r>
      <w:r w:rsidR="00C90873" w:rsidRPr="00E83385" w:rsidDel="00C90873">
        <w:rPr>
          <w:rFonts w:asciiTheme="minorHAnsi" w:hAnsiTheme="minorHAnsi" w:cstheme="minorHAnsi"/>
        </w:rPr>
        <w:t xml:space="preserve"> </w:t>
      </w:r>
      <w:r w:rsidR="00F67E5D" w:rsidRPr="005B04B8">
        <w:rPr>
          <w:rFonts w:asciiTheme="minorHAnsi" w:hAnsiTheme="minorHAnsi" w:cstheme="minorHAnsi"/>
        </w:rPr>
        <w:t>del agua</w:t>
      </w:r>
      <w:r w:rsidR="00805904">
        <w:rPr>
          <w:rFonts w:asciiTheme="minorHAnsi" w:hAnsiTheme="minorHAnsi" w:cstheme="minorHAnsi"/>
        </w:rPr>
        <w:t>: los programas de acreditación</w:t>
      </w:r>
      <w:r w:rsidR="00F67E5D" w:rsidRPr="005B04B8">
        <w:rPr>
          <w:rFonts w:asciiTheme="minorHAnsi" w:hAnsiTheme="minorHAnsi" w:cstheme="minorHAnsi"/>
        </w:rPr>
        <w:t xml:space="preserve">. </w:t>
      </w:r>
    </w:p>
    <w:p w:rsidR="003C2CBC" w:rsidRPr="005B04B8" w:rsidRDefault="003C2CBC" w:rsidP="00A66799">
      <w:pPr>
        <w:jc w:val="both"/>
        <w:rPr>
          <w:rFonts w:asciiTheme="minorHAnsi" w:hAnsiTheme="minorHAnsi"/>
        </w:rPr>
      </w:pPr>
    </w:p>
    <w:p w:rsidR="00FE7FA9" w:rsidRDefault="00FE7FA9" w:rsidP="00A66799">
      <w:pPr>
        <w:jc w:val="both"/>
        <w:rPr>
          <w:rFonts w:ascii="Calibri" w:hAnsi="Calibri"/>
          <w:color w:val="000000"/>
        </w:rPr>
      </w:pPr>
    </w:p>
    <w:p w:rsidR="00FE7FA9" w:rsidRDefault="00FE7FA9" w:rsidP="00A66799">
      <w:pPr>
        <w:jc w:val="both"/>
        <w:rPr>
          <w:rFonts w:ascii="Calibri" w:hAnsi="Calibri"/>
          <w:color w:val="000000"/>
        </w:rPr>
      </w:pPr>
    </w:p>
    <w:p w:rsidR="00FE7FA9" w:rsidRDefault="00FE7FA9" w:rsidP="00A66799">
      <w:pPr>
        <w:jc w:val="both"/>
        <w:rPr>
          <w:rFonts w:ascii="Calibri" w:hAnsi="Calibri"/>
          <w:color w:val="000000"/>
        </w:rPr>
      </w:pPr>
    </w:p>
    <w:p w:rsidR="00FE7FA9" w:rsidRDefault="00FE7FA9" w:rsidP="00A66799">
      <w:pPr>
        <w:jc w:val="both"/>
        <w:rPr>
          <w:rFonts w:ascii="Calibri" w:hAnsi="Calibri"/>
          <w:color w:val="000000"/>
        </w:rPr>
      </w:pPr>
    </w:p>
    <w:p w:rsidR="00FE7FA9" w:rsidRDefault="00FE7FA9" w:rsidP="00A66799">
      <w:pPr>
        <w:jc w:val="both"/>
        <w:rPr>
          <w:rFonts w:ascii="Calibri" w:hAnsi="Calibri"/>
          <w:color w:val="000000"/>
        </w:rPr>
      </w:pPr>
    </w:p>
    <w:p w:rsidR="00A66799" w:rsidRPr="001642E8" w:rsidRDefault="00F67E5D" w:rsidP="00A66799">
      <w:pPr>
        <w:jc w:val="both"/>
      </w:pPr>
      <w:r w:rsidRPr="001642E8">
        <w:rPr>
          <w:rFonts w:ascii="Calibri" w:hAnsi="Calibri"/>
          <w:color w:val="000000"/>
        </w:rPr>
        <w:t xml:space="preserve">Por un lado, </w:t>
      </w:r>
      <w:r w:rsidR="00A66799">
        <w:rPr>
          <w:rFonts w:ascii="Calibri" w:hAnsi="Calibri"/>
          <w:color w:val="000000"/>
        </w:rPr>
        <w:t>el “</w:t>
      </w:r>
      <w:r w:rsidR="00A66799" w:rsidRPr="004E77A8">
        <w:rPr>
          <w:rFonts w:ascii="Calibri" w:hAnsi="Calibri"/>
          <w:b/>
          <w:color w:val="000000"/>
        </w:rPr>
        <w:t>Programa de Acreditación: Control de calidad de agua de consumo humano</w:t>
      </w:r>
      <w:r w:rsidR="00A66799">
        <w:rPr>
          <w:rFonts w:ascii="Calibri" w:hAnsi="Calibri"/>
          <w:color w:val="000000"/>
        </w:rPr>
        <w:t>”</w:t>
      </w:r>
      <w:r w:rsidR="00C90873">
        <w:rPr>
          <w:rFonts w:ascii="Calibri" w:hAnsi="Calibri"/>
          <w:color w:val="000000"/>
        </w:rPr>
        <w:t xml:space="preserve"> </w:t>
      </w:r>
      <w:r w:rsidR="00083E5A">
        <w:rPr>
          <w:rFonts w:ascii="Calibri" w:hAnsi="Calibri"/>
          <w:color w:val="000000"/>
        </w:rPr>
        <w:t>identifica los</w:t>
      </w:r>
      <w:r w:rsidR="00C90873">
        <w:rPr>
          <w:rFonts w:ascii="Calibri" w:hAnsi="Calibri"/>
          <w:color w:val="000000"/>
        </w:rPr>
        <w:t xml:space="preserve"> </w:t>
      </w:r>
      <w:r w:rsidR="00A66799">
        <w:rPr>
          <w:rFonts w:ascii="Calibri" w:hAnsi="Calibri"/>
          <w:color w:val="000000"/>
        </w:rPr>
        <w:t>laboratorios que están en disposición de ofrecer un servicio acreditado integral en el ámbito del Real Decreto 140/2003</w:t>
      </w:r>
      <w:r w:rsidR="00805904">
        <w:rPr>
          <w:rFonts w:ascii="Calibri" w:hAnsi="Calibri"/>
          <w:color w:val="000000"/>
        </w:rPr>
        <w:t>,</w:t>
      </w:r>
      <w:r w:rsidR="00A66799">
        <w:rPr>
          <w:rFonts w:ascii="Calibri" w:hAnsi="Calibri"/>
          <w:color w:val="000000"/>
        </w:rPr>
        <w:t xml:space="preserve"> que define los criterios sanitarios de la calidad de agua de consumo humano. </w:t>
      </w:r>
    </w:p>
    <w:p w:rsidR="0059609A" w:rsidRDefault="0059609A">
      <w:pPr>
        <w:jc w:val="both"/>
        <w:rPr>
          <w:rFonts w:ascii="Calibri" w:hAnsi="Calibri"/>
          <w:color w:val="000000"/>
        </w:rPr>
      </w:pPr>
    </w:p>
    <w:p w:rsidR="00F67E5D" w:rsidRPr="001642E8" w:rsidRDefault="00A66799">
      <w:pPr>
        <w:jc w:val="both"/>
      </w:pPr>
      <w:r>
        <w:rPr>
          <w:rFonts w:ascii="Calibri" w:hAnsi="Calibri"/>
          <w:color w:val="000000"/>
        </w:rPr>
        <w:t xml:space="preserve">Por </w:t>
      </w:r>
      <w:r w:rsidR="00083E5A">
        <w:rPr>
          <w:rFonts w:ascii="Calibri" w:hAnsi="Calibri"/>
          <w:color w:val="000000"/>
        </w:rPr>
        <w:t>su parte</w:t>
      </w:r>
      <w:r>
        <w:rPr>
          <w:rFonts w:ascii="Calibri" w:hAnsi="Calibri"/>
          <w:color w:val="000000"/>
        </w:rPr>
        <w:t xml:space="preserve">, </w:t>
      </w:r>
      <w:r w:rsidR="00F67E5D" w:rsidRPr="001642E8">
        <w:rPr>
          <w:rFonts w:ascii="Calibri" w:hAnsi="Calibri"/>
          <w:color w:val="000000"/>
        </w:rPr>
        <w:t>el "</w:t>
      </w:r>
      <w:r w:rsidR="00F67E5D" w:rsidRPr="004E77A8">
        <w:rPr>
          <w:rFonts w:ascii="Calibri" w:hAnsi="Calibri"/>
          <w:b/>
          <w:color w:val="000000"/>
        </w:rPr>
        <w:t>Programa de Acreditación: Control de la calidad del agua de piscina</w:t>
      </w:r>
      <w:r w:rsidR="004E77A8">
        <w:rPr>
          <w:rFonts w:ascii="Calibri" w:hAnsi="Calibri"/>
          <w:color w:val="000000"/>
        </w:rPr>
        <w:t>”</w:t>
      </w:r>
      <w:r w:rsidR="00A62347">
        <w:rPr>
          <w:rFonts w:ascii="Calibri" w:hAnsi="Calibri"/>
          <w:color w:val="000000"/>
        </w:rPr>
        <w:t xml:space="preserve"> </w:t>
      </w:r>
      <w:r w:rsidR="00083E5A">
        <w:rPr>
          <w:rFonts w:ascii="Calibri" w:hAnsi="Calibri"/>
          <w:color w:val="000000"/>
        </w:rPr>
        <w:t xml:space="preserve">distingue a los </w:t>
      </w:r>
      <w:r w:rsidRPr="001642E8">
        <w:rPr>
          <w:rFonts w:ascii="Calibri" w:hAnsi="Calibri"/>
          <w:color w:val="000000"/>
        </w:rPr>
        <w:t xml:space="preserve">laboratorios que están acreditados para los </w:t>
      </w:r>
      <w:r w:rsidR="00083E5A">
        <w:rPr>
          <w:rFonts w:ascii="Calibri" w:hAnsi="Calibri"/>
          <w:color w:val="000000"/>
        </w:rPr>
        <w:t>todos</w:t>
      </w:r>
      <w:r w:rsidR="00805904">
        <w:rPr>
          <w:rFonts w:ascii="Calibri" w:hAnsi="Calibri"/>
          <w:color w:val="000000"/>
        </w:rPr>
        <w:t xml:space="preserve"> los</w:t>
      </w:r>
      <w:r w:rsidR="00083E5A">
        <w:rPr>
          <w:rFonts w:ascii="Calibri" w:hAnsi="Calibri"/>
          <w:color w:val="000000"/>
        </w:rPr>
        <w:t xml:space="preserve"> </w:t>
      </w:r>
      <w:r w:rsidRPr="001642E8">
        <w:rPr>
          <w:rFonts w:ascii="Calibri" w:hAnsi="Calibri"/>
          <w:color w:val="000000"/>
        </w:rPr>
        <w:t>parámetros relacionados con la calidad del agua de las piscinas en el ámbito del Real Decreto 742/2013, el cual establece los criterios básicos técnico-sanitarios necesarios para proteger la salud de los usuarios de posibles riesgos físicos, químicos o microbiológicos derivados de su uso.</w:t>
      </w:r>
      <w:r>
        <w:rPr>
          <w:rFonts w:ascii="Calibri" w:hAnsi="Calibri"/>
          <w:color w:val="000000"/>
        </w:rPr>
        <w:t xml:space="preserve"> </w:t>
      </w:r>
    </w:p>
    <w:p w:rsidR="007A302C" w:rsidRDefault="007A302C" w:rsidP="00F67E5D">
      <w:pPr>
        <w:jc w:val="both"/>
        <w:rPr>
          <w:rFonts w:ascii="Calibri" w:hAnsi="Calibri"/>
          <w:b/>
          <w:bCs/>
          <w:color w:val="000000"/>
          <w:sz w:val="22"/>
          <w:szCs w:val="22"/>
          <w:shd w:val="clear" w:color="auto" w:fill="FFFF00"/>
        </w:rPr>
      </w:pPr>
    </w:p>
    <w:p w:rsidR="00BF5238" w:rsidRPr="001642E8" w:rsidRDefault="00A87695" w:rsidP="00A538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relación con la recuperación del agua</w:t>
      </w:r>
      <w:r w:rsidR="001642E8" w:rsidRPr="001642E8">
        <w:rPr>
          <w:rFonts w:asciiTheme="minorHAnsi" w:hAnsiTheme="minorHAnsi" w:cstheme="minorHAnsi"/>
        </w:rPr>
        <w:t xml:space="preserve">, </w:t>
      </w:r>
      <w:r w:rsidR="00EB5528" w:rsidRPr="005B04B8">
        <w:rPr>
          <w:rFonts w:asciiTheme="minorHAnsi" w:hAnsiTheme="minorHAnsi" w:cstheme="minorHAnsi"/>
          <w:b/>
        </w:rPr>
        <w:t>54</w:t>
      </w:r>
      <w:r w:rsidR="00EB5528" w:rsidRPr="004E77A8">
        <w:rPr>
          <w:rFonts w:asciiTheme="minorHAnsi" w:hAnsiTheme="minorHAnsi" w:cstheme="minorHAnsi"/>
          <w:b/>
          <w:color w:val="FF0000"/>
        </w:rPr>
        <w:t xml:space="preserve"> </w:t>
      </w:r>
      <w:r w:rsidR="00EB5528" w:rsidRPr="001642E8">
        <w:rPr>
          <w:rFonts w:asciiTheme="minorHAnsi" w:hAnsiTheme="minorHAnsi" w:cstheme="minorHAnsi"/>
          <w:b/>
        </w:rPr>
        <w:t>entidades de inspección están acreditadas</w:t>
      </w:r>
      <w:r w:rsidR="00EB5528" w:rsidRPr="001642E8">
        <w:rPr>
          <w:rFonts w:asciiTheme="minorHAnsi" w:hAnsiTheme="minorHAnsi" w:cstheme="minorHAnsi"/>
        </w:rPr>
        <w:t xml:space="preserve"> </w:t>
      </w:r>
      <w:r w:rsidR="001642E8" w:rsidRPr="001642E8">
        <w:rPr>
          <w:rFonts w:asciiTheme="minorHAnsi" w:hAnsiTheme="minorHAnsi"/>
          <w:shd w:val="clear" w:color="auto" w:fill="FFFFFF"/>
        </w:rPr>
        <w:t>en relación al control de vertid</w:t>
      </w:r>
      <w:r w:rsidR="001642E8">
        <w:rPr>
          <w:rFonts w:asciiTheme="minorHAnsi" w:hAnsiTheme="minorHAnsi"/>
          <w:shd w:val="clear" w:color="auto" w:fill="FFFFFF"/>
        </w:rPr>
        <w:t>os y calidad del medio receptor y</w:t>
      </w:r>
      <w:r w:rsidR="001642E8" w:rsidRPr="001642E8">
        <w:rPr>
          <w:rFonts w:asciiTheme="minorHAnsi" w:hAnsiTheme="minorHAnsi"/>
          <w:shd w:val="clear" w:color="auto" w:fill="FFFFFF"/>
        </w:rPr>
        <w:t xml:space="preserve"> garantizan el control de aguas residuales y su posterior reutilización</w:t>
      </w:r>
      <w:r w:rsidR="001642E8">
        <w:rPr>
          <w:rFonts w:asciiTheme="minorHAnsi" w:hAnsiTheme="minorHAnsi"/>
          <w:shd w:val="clear" w:color="auto" w:fill="FFFFFF"/>
        </w:rPr>
        <w:t xml:space="preserve">. </w:t>
      </w:r>
    </w:p>
    <w:p w:rsidR="00EB5528" w:rsidRPr="001642E8" w:rsidRDefault="00EB5528" w:rsidP="00A53887">
      <w:pPr>
        <w:jc w:val="both"/>
        <w:rPr>
          <w:rFonts w:asciiTheme="minorHAnsi" w:hAnsiTheme="minorHAnsi" w:cstheme="minorHAnsi"/>
        </w:rPr>
      </w:pPr>
    </w:p>
    <w:p w:rsidR="00F65B00" w:rsidRDefault="00F65B00" w:rsidP="00F65B00">
      <w:pPr>
        <w:jc w:val="both"/>
        <w:rPr>
          <w:rFonts w:asciiTheme="minorHAnsi" w:hAnsiTheme="minorHAnsi"/>
          <w:b/>
          <w:u w:val="single"/>
        </w:rPr>
      </w:pPr>
      <w:r w:rsidRPr="00F65B00">
        <w:rPr>
          <w:rFonts w:asciiTheme="minorHAnsi" w:hAnsiTheme="minorHAnsi"/>
          <w:b/>
          <w:u w:val="single"/>
        </w:rPr>
        <w:t>Sobre ENAC</w:t>
      </w:r>
    </w:p>
    <w:p w:rsidR="00F65B00" w:rsidRPr="00F65B00" w:rsidRDefault="00F65B00" w:rsidP="00F65B00">
      <w:pPr>
        <w:jc w:val="both"/>
        <w:rPr>
          <w:rFonts w:asciiTheme="minorHAnsi" w:hAnsiTheme="minorHAnsi"/>
          <w:b/>
          <w:u w:val="single"/>
        </w:rPr>
      </w:pP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 w:cs="Arial"/>
        </w:rPr>
      </w:pPr>
      <w:r w:rsidRPr="00F65B00">
        <w:rPr>
          <w:rFonts w:asciiTheme="minorHAnsi" w:hAnsiTheme="minorHAnsi"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 w:cs="Arial"/>
        </w:rPr>
      </w:pPr>
      <w:r w:rsidRPr="00F65B00">
        <w:rPr>
          <w:rFonts w:asciiTheme="minorHAnsi" w:hAnsiTheme="minorHAnsi" w:cs="Arial"/>
          <w:color w:val="1F497D"/>
        </w:rPr>
        <w:t> </w:t>
      </w: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 w:cs="Arial"/>
        </w:rPr>
      </w:pPr>
      <w:r w:rsidRPr="00F65B00">
        <w:rPr>
          <w:rFonts w:asciiTheme="minorHAnsi" w:hAnsiTheme="minorHAnsi" w:cs="Arial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 w:cs="Arial"/>
        </w:rPr>
      </w:pPr>
      <w:r w:rsidRPr="00F65B00">
        <w:rPr>
          <w:rFonts w:asciiTheme="minorHAnsi" w:hAnsiTheme="minorHAnsi" w:cs="Arial"/>
        </w:rPr>
        <w:t> </w:t>
      </w: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/>
        </w:rPr>
      </w:pPr>
      <w:r w:rsidRPr="00F65B00">
        <w:rPr>
          <w:rFonts w:asciiTheme="minorHAnsi" w:hAnsiTheme="minorHAnsi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/>
        </w:rPr>
      </w:pPr>
    </w:p>
    <w:p w:rsidR="00F65B00" w:rsidRPr="00F65B00" w:rsidRDefault="00D21A96" w:rsidP="00F65B0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hyperlink r:id="rId12" w:history="1">
        <w:r w:rsidR="00F65B00" w:rsidRPr="00F65B00">
          <w:rPr>
            <w:rStyle w:val="Hipervnculo"/>
            <w:rFonts w:asciiTheme="minorHAnsi" w:hAnsiTheme="minorHAnsi"/>
          </w:rPr>
          <w:t>www.enac.es</w:t>
        </w:r>
      </w:hyperlink>
      <w:r w:rsidR="00F65B00" w:rsidRPr="00F65B00">
        <w:rPr>
          <w:rFonts w:asciiTheme="minorHAnsi" w:hAnsiTheme="minorHAnsi"/>
        </w:rPr>
        <w:t xml:space="preserve"> </w:t>
      </w:r>
    </w:p>
    <w:p w:rsidR="00F65B00" w:rsidRPr="00F65B00" w:rsidRDefault="00F65B00" w:rsidP="00F65B0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F65B00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8573331" wp14:editId="2453BBA4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5" name="Imagen 5" descr="Resultado de imagen de icono linked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B00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B523814" wp14:editId="5C3E2544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4" name="Imagen 4" descr="Resultado de imagen de icono twitt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00" w:rsidRPr="00F65B00" w:rsidRDefault="00F65B00" w:rsidP="00F65B0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F65B00" w:rsidRPr="00F65B00" w:rsidRDefault="00F65B00" w:rsidP="00F65B0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/>
        </w:rPr>
      </w:pP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/>
        </w:rPr>
      </w:pPr>
      <w:r w:rsidRPr="00F65B00">
        <w:rPr>
          <w:rFonts w:asciiTheme="minorHAnsi" w:hAnsiTheme="minorHAnsi"/>
        </w:rPr>
        <w:t>Para más información sobre la nota de prensa, resolver dudas o gestionar entrevistas:</w:t>
      </w: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/>
        </w:rPr>
      </w:pPr>
      <w:r w:rsidRPr="00F65B00">
        <w:rPr>
          <w:rFonts w:asciiTheme="minorHAnsi" w:hAnsiTheme="minorHAnsi"/>
        </w:rPr>
        <w:t>Eva Martín</w:t>
      </w:r>
    </w:p>
    <w:p w:rsidR="00F65B00" w:rsidRPr="00F65B00" w:rsidRDefault="00F65B00" w:rsidP="00F65B00">
      <w:pPr>
        <w:pStyle w:val="Sinespaciado"/>
        <w:jc w:val="both"/>
        <w:rPr>
          <w:rFonts w:asciiTheme="minorHAnsi" w:hAnsiTheme="minorHAnsi"/>
        </w:rPr>
      </w:pPr>
      <w:r w:rsidRPr="00F65B00">
        <w:rPr>
          <w:rFonts w:asciiTheme="minorHAnsi" w:hAnsiTheme="minorHAnsi"/>
        </w:rPr>
        <w:t xml:space="preserve">Tfno. 628 17 49 01 / </w:t>
      </w:r>
      <w:hyperlink r:id="rId19" w:history="1">
        <w:r w:rsidRPr="00F65B00">
          <w:rPr>
            <w:rStyle w:val="Hipervnculo"/>
            <w:rFonts w:asciiTheme="minorHAnsi" w:hAnsiTheme="minorHAnsi"/>
          </w:rPr>
          <w:t>evamc@varenga.es</w:t>
        </w:r>
      </w:hyperlink>
      <w:r w:rsidRPr="00F65B00">
        <w:rPr>
          <w:rFonts w:asciiTheme="minorHAnsi" w:hAnsiTheme="minorHAnsi"/>
        </w:rPr>
        <w:t xml:space="preserve"> </w:t>
      </w:r>
    </w:p>
    <w:p w:rsidR="00F65B00" w:rsidRPr="00AF7903" w:rsidRDefault="00F65B00" w:rsidP="00F65B00">
      <w:pPr>
        <w:pStyle w:val="Sinespaciado"/>
        <w:jc w:val="both"/>
      </w:pPr>
    </w:p>
    <w:p w:rsidR="00BF5238" w:rsidRPr="00DE3B48" w:rsidRDefault="00BF5238" w:rsidP="00F65B00">
      <w:pPr>
        <w:pStyle w:val="Sinespaciado"/>
        <w:rPr>
          <w:rFonts w:asciiTheme="minorHAnsi" w:hAnsiTheme="minorHAnsi" w:cstheme="minorHAnsi"/>
        </w:rPr>
      </w:pPr>
    </w:p>
    <w:sectPr w:rsidR="00BF5238" w:rsidRPr="00DE3B48" w:rsidSect="008F27F1">
      <w:headerReference w:type="default" r:id="rId20"/>
      <w:footerReference w:type="default" r:id="rId2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96" w:rsidRDefault="00D21A96" w:rsidP="000A2063">
      <w:r>
        <w:separator/>
      </w:r>
    </w:p>
  </w:endnote>
  <w:endnote w:type="continuationSeparator" w:id="0">
    <w:p w:rsidR="00D21A96" w:rsidRDefault="00D21A96" w:rsidP="000A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462747"/>
      <w:docPartObj>
        <w:docPartGallery w:val="Page Numbers (Bottom of Page)"/>
        <w:docPartUnique/>
      </w:docPartObj>
    </w:sdtPr>
    <w:sdtEndPr/>
    <w:sdtContent>
      <w:p w:rsidR="000A2063" w:rsidRDefault="000A20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56">
          <w:rPr>
            <w:noProof/>
          </w:rPr>
          <w:t>1</w:t>
        </w:r>
        <w:r>
          <w:fldChar w:fldCharType="end"/>
        </w:r>
      </w:p>
    </w:sdtContent>
  </w:sdt>
  <w:p w:rsidR="000A2063" w:rsidRDefault="000A20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96" w:rsidRDefault="00D21A96" w:rsidP="000A2063">
      <w:r>
        <w:separator/>
      </w:r>
    </w:p>
  </w:footnote>
  <w:footnote w:type="continuationSeparator" w:id="0">
    <w:p w:rsidR="00D21A96" w:rsidRDefault="00D21A96" w:rsidP="000A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38" w:rsidRDefault="00BF5238" w:rsidP="000A2063">
    <w:pPr>
      <w:ind w:left="-120"/>
      <w:jc w:val="both"/>
      <w:rPr>
        <w:rFonts w:ascii="Calibri" w:hAnsi="Calibri"/>
        <w:b/>
        <w:sz w:val="40"/>
        <w:szCs w:val="40"/>
      </w:rPr>
    </w:pPr>
  </w:p>
  <w:p w:rsidR="000A2063" w:rsidRDefault="00BF5238" w:rsidP="000A2063">
    <w:pPr>
      <w:ind w:left="-120"/>
      <w:jc w:val="both"/>
      <w:rPr>
        <w:rFonts w:ascii="Arial" w:hAnsi="Arial" w:cs="Arial"/>
        <w:sz w:val="22"/>
        <w:szCs w:val="22"/>
      </w:rPr>
    </w:pPr>
    <w:r w:rsidRPr="00A61897">
      <w:rPr>
        <w:rFonts w:ascii="Calibri" w:hAnsi="Calibri"/>
        <w:b/>
        <w:sz w:val="40"/>
        <w:szCs w:val="40"/>
      </w:rPr>
      <w:t>NOTA DE PRENSA</w:t>
    </w:r>
    <w:r>
      <w:rPr>
        <w:rFonts w:ascii="Arial" w:hAnsi="Arial" w:cs="Arial"/>
        <w:noProof/>
        <w:sz w:val="22"/>
        <w:szCs w:val="22"/>
      </w:rPr>
      <w:t xml:space="preserve"> </w:t>
    </w:r>
    <w:r w:rsidR="000A206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67F63D9" wp14:editId="20264D48">
          <wp:simplePos x="0" y="0"/>
          <wp:positionH relativeFrom="column">
            <wp:posOffset>4399915</wp:posOffset>
          </wp:positionH>
          <wp:positionV relativeFrom="paragraph">
            <wp:posOffset>-175260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063" w:rsidRDefault="000A20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186"/>
    <w:multiLevelType w:val="hybridMultilevel"/>
    <w:tmpl w:val="F398D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3001"/>
    <w:multiLevelType w:val="hybridMultilevel"/>
    <w:tmpl w:val="A306CC70"/>
    <w:lvl w:ilvl="0" w:tplc="0C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62D1114"/>
    <w:multiLevelType w:val="hybridMultilevel"/>
    <w:tmpl w:val="BE98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57CC"/>
    <w:multiLevelType w:val="hybridMultilevel"/>
    <w:tmpl w:val="D37016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8A0B3C"/>
    <w:multiLevelType w:val="multilevel"/>
    <w:tmpl w:val="76A2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C22D4"/>
    <w:multiLevelType w:val="multilevel"/>
    <w:tmpl w:val="905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B"/>
    <w:rsid w:val="000043CF"/>
    <w:rsid w:val="00024D5E"/>
    <w:rsid w:val="00025122"/>
    <w:rsid w:val="000551AA"/>
    <w:rsid w:val="000569FA"/>
    <w:rsid w:val="00070C7F"/>
    <w:rsid w:val="00083E5A"/>
    <w:rsid w:val="000A1FB0"/>
    <w:rsid w:val="000A2063"/>
    <w:rsid w:val="000A512D"/>
    <w:rsid w:val="000B048C"/>
    <w:rsid w:val="00112387"/>
    <w:rsid w:val="0014072A"/>
    <w:rsid w:val="00156EA0"/>
    <w:rsid w:val="001626A6"/>
    <w:rsid w:val="001642E8"/>
    <w:rsid w:val="001A6EDB"/>
    <w:rsid w:val="001B4B55"/>
    <w:rsid w:val="001D02CD"/>
    <w:rsid w:val="001F5343"/>
    <w:rsid w:val="00224ED2"/>
    <w:rsid w:val="002308E9"/>
    <w:rsid w:val="00267A03"/>
    <w:rsid w:val="00275410"/>
    <w:rsid w:val="00287865"/>
    <w:rsid w:val="002D6F87"/>
    <w:rsid w:val="003049E0"/>
    <w:rsid w:val="00332A5A"/>
    <w:rsid w:val="003434D7"/>
    <w:rsid w:val="003B45DD"/>
    <w:rsid w:val="003B5A7B"/>
    <w:rsid w:val="003C2CBC"/>
    <w:rsid w:val="003D1EA1"/>
    <w:rsid w:val="003F0630"/>
    <w:rsid w:val="00413BCD"/>
    <w:rsid w:val="0041561A"/>
    <w:rsid w:val="0044465F"/>
    <w:rsid w:val="0045678F"/>
    <w:rsid w:val="00463405"/>
    <w:rsid w:val="004812E3"/>
    <w:rsid w:val="004B0038"/>
    <w:rsid w:val="004B685D"/>
    <w:rsid w:val="004C275A"/>
    <w:rsid w:val="004C4E24"/>
    <w:rsid w:val="004E77A8"/>
    <w:rsid w:val="00535EB6"/>
    <w:rsid w:val="0059609A"/>
    <w:rsid w:val="005B04B8"/>
    <w:rsid w:val="005D229C"/>
    <w:rsid w:val="005E70A7"/>
    <w:rsid w:val="00642297"/>
    <w:rsid w:val="00654EFE"/>
    <w:rsid w:val="006712D7"/>
    <w:rsid w:val="006805C1"/>
    <w:rsid w:val="006906C1"/>
    <w:rsid w:val="006A1E81"/>
    <w:rsid w:val="00702E79"/>
    <w:rsid w:val="00732591"/>
    <w:rsid w:val="007A302C"/>
    <w:rsid w:val="007B63A4"/>
    <w:rsid w:val="007C250B"/>
    <w:rsid w:val="007C7E39"/>
    <w:rsid w:val="00805904"/>
    <w:rsid w:val="008341A4"/>
    <w:rsid w:val="0085712B"/>
    <w:rsid w:val="008616F2"/>
    <w:rsid w:val="00882056"/>
    <w:rsid w:val="008C23EC"/>
    <w:rsid w:val="008F27F1"/>
    <w:rsid w:val="008F4D80"/>
    <w:rsid w:val="0095399E"/>
    <w:rsid w:val="009701D1"/>
    <w:rsid w:val="0097302B"/>
    <w:rsid w:val="00994CB8"/>
    <w:rsid w:val="009B3C9F"/>
    <w:rsid w:val="009C033F"/>
    <w:rsid w:val="009D1495"/>
    <w:rsid w:val="00A00604"/>
    <w:rsid w:val="00A009C4"/>
    <w:rsid w:val="00A150D5"/>
    <w:rsid w:val="00A53887"/>
    <w:rsid w:val="00A56720"/>
    <w:rsid w:val="00A62347"/>
    <w:rsid w:val="00A66799"/>
    <w:rsid w:val="00A87695"/>
    <w:rsid w:val="00A8773D"/>
    <w:rsid w:val="00A92380"/>
    <w:rsid w:val="00AE1289"/>
    <w:rsid w:val="00AE5E95"/>
    <w:rsid w:val="00B07455"/>
    <w:rsid w:val="00B17AB3"/>
    <w:rsid w:val="00B20C8B"/>
    <w:rsid w:val="00B5073B"/>
    <w:rsid w:val="00B55668"/>
    <w:rsid w:val="00B5659D"/>
    <w:rsid w:val="00B619E5"/>
    <w:rsid w:val="00B76F00"/>
    <w:rsid w:val="00BC308F"/>
    <w:rsid w:val="00BC4F54"/>
    <w:rsid w:val="00BD2AC5"/>
    <w:rsid w:val="00BF5238"/>
    <w:rsid w:val="00BF7449"/>
    <w:rsid w:val="00C07E69"/>
    <w:rsid w:val="00C149CA"/>
    <w:rsid w:val="00C33427"/>
    <w:rsid w:val="00C47CB3"/>
    <w:rsid w:val="00C61FB1"/>
    <w:rsid w:val="00C806C1"/>
    <w:rsid w:val="00C85660"/>
    <w:rsid w:val="00C90873"/>
    <w:rsid w:val="00C91C08"/>
    <w:rsid w:val="00CD1C98"/>
    <w:rsid w:val="00CF2FDD"/>
    <w:rsid w:val="00D06492"/>
    <w:rsid w:val="00D21A96"/>
    <w:rsid w:val="00D43B5B"/>
    <w:rsid w:val="00D62E48"/>
    <w:rsid w:val="00D70ED7"/>
    <w:rsid w:val="00D72BF9"/>
    <w:rsid w:val="00DB7666"/>
    <w:rsid w:val="00DE2956"/>
    <w:rsid w:val="00DE3B48"/>
    <w:rsid w:val="00DF3E51"/>
    <w:rsid w:val="00E333CD"/>
    <w:rsid w:val="00E83385"/>
    <w:rsid w:val="00E86785"/>
    <w:rsid w:val="00E95B19"/>
    <w:rsid w:val="00EB3A97"/>
    <w:rsid w:val="00EB5528"/>
    <w:rsid w:val="00EE2DEF"/>
    <w:rsid w:val="00F2636D"/>
    <w:rsid w:val="00F341B5"/>
    <w:rsid w:val="00F46415"/>
    <w:rsid w:val="00F54754"/>
    <w:rsid w:val="00F6182C"/>
    <w:rsid w:val="00F64534"/>
    <w:rsid w:val="00F65B00"/>
    <w:rsid w:val="00F67E5D"/>
    <w:rsid w:val="00FB747D"/>
    <w:rsid w:val="00FC47B1"/>
    <w:rsid w:val="00FD3D6C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70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730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uiPriority w:val="22"/>
    <w:qFormat/>
    <w:rsid w:val="00B17AB3"/>
    <w:rPr>
      <w:b/>
      <w:bCs/>
    </w:rPr>
  </w:style>
  <w:style w:type="paragraph" w:styleId="Sinespaciado">
    <w:name w:val="No Spacing"/>
    <w:uiPriority w:val="1"/>
    <w:qFormat/>
    <w:rsid w:val="00B1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20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0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20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A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0C7F"/>
    <w:pPr>
      <w:ind w:left="720"/>
      <w:contextualSpacing/>
    </w:pPr>
  </w:style>
  <w:style w:type="paragraph" w:styleId="Revisin">
    <w:name w:val="Revision"/>
    <w:hidden/>
    <w:uiPriority w:val="99"/>
    <w:semiHidden/>
    <w:rsid w:val="001A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1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1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1E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1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1EA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01D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uiPriority w:val="99"/>
    <w:rsid w:val="00BF5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70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730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uiPriority w:val="22"/>
    <w:qFormat/>
    <w:rsid w:val="00B17AB3"/>
    <w:rPr>
      <w:b/>
      <w:bCs/>
    </w:rPr>
  </w:style>
  <w:style w:type="paragraph" w:styleId="Sinespaciado">
    <w:name w:val="No Spacing"/>
    <w:uiPriority w:val="1"/>
    <w:qFormat/>
    <w:rsid w:val="00B1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20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0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20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0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A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0C7F"/>
    <w:pPr>
      <w:ind w:left="720"/>
      <w:contextualSpacing/>
    </w:pPr>
  </w:style>
  <w:style w:type="paragraph" w:styleId="Revisin">
    <w:name w:val="Revision"/>
    <w:hidden/>
    <w:uiPriority w:val="99"/>
    <w:semiHidden/>
    <w:rsid w:val="001A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1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1E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1E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1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1EA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01D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uiPriority w:val="99"/>
    <w:rsid w:val="00BF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entidad-nacional-de-acreditacion" TargetMode="External"/><Relationship Id="rId18" Type="http://schemas.openxmlformats.org/officeDocument/2006/relationships/image" Target="http://vignette1.wikia.nocookie.net/hieloyfuego/images/a/a1/%C3%8Dcono_Twitter.png/revision/latest?cb=2013092123235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nac.es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NAC_acredi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nac.es/" TargetMode="External"/><Relationship Id="rId5" Type="http://schemas.openxmlformats.org/officeDocument/2006/relationships/styles" Target="styles.xml"/><Relationship Id="rId15" Type="http://schemas.openxmlformats.org/officeDocument/2006/relationships/image" Target="http://icon-icons.com/icons2/808/PNG/512/linkedin_icon-icons.com_66096.p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vamc@varenga.es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8DFE4125499647B688E8AA921D5857" ma:contentTypeVersion="8" ma:contentTypeDescription="Crear nuevo documento." ma:contentTypeScope="" ma:versionID="bdffadc514ccbbf76e927a9237874c76">
  <xsd:schema xmlns:xsd="http://www.w3.org/2001/XMLSchema" xmlns:xs="http://www.w3.org/2001/XMLSchema" xmlns:p="http://schemas.microsoft.com/office/2006/metadata/properties" xmlns:ns2="62b0e601-1eae-456d-bbcb-659e0b569be3" xmlns:ns3="812dfc6b-4be5-4953-8a04-032a46c6b784" targetNamespace="http://schemas.microsoft.com/office/2006/metadata/properties" ma:root="true" ma:fieldsID="b47311f52c054be7059b3fc551050fa5" ns2:_="" ns3:_="">
    <xsd:import namespace="62b0e601-1eae-456d-bbcb-659e0b569be3"/>
    <xsd:import namespace="812dfc6b-4be5-4953-8a04-032a46c6b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e601-1eae-456d-bbcb-659e0b569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fc6b-4be5-4953-8a04-032a46c6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1064A-788B-43A6-AE2A-87C6B8055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86876-1425-4F84-8C14-429B91686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e601-1eae-456d-bbcb-659e0b569be3"/>
    <ds:schemaRef ds:uri="812dfc6b-4be5-4953-8a04-032a46c6b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A7D08-2B35-4889-B8EA-244B64D7B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</dc:creator>
  <cp:lastModifiedBy>Eva Martin</cp:lastModifiedBy>
  <cp:revision>6</cp:revision>
  <dcterms:created xsi:type="dcterms:W3CDTF">2019-03-20T14:42:00Z</dcterms:created>
  <dcterms:modified xsi:type="dcterms:W3CDTF">2019-03-21T09:18:00Z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0x010100158DFE4125499647B688E8AA921D5857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