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71728" w:rsidRDefault="00000000" w14:paraId="5765B5C9" w14:textId="77777777">
      <w:pPr>
        <w:spacing w:line="276" w:lineRule="auto"/>
        <w:jc w:val="center"/>
        <w:rPr>
          <w:rFonts w:ascii="Roboto" w:hAnsi="Roboto" w:eastAsia="Roboto" w:cs="Roboto"/>
          <w:sz w:val="22"/>
          <w:szCs w:val="22"/>
        </w:rPr>
      </w:pPr>
      <w:r>
        <w:rPr>
          <w:rFonts w:ascii="Roboto" w:hAnsi="Roboto" w:eastAsia="Roboto" w:cs="Roboto"/>
          <w:b/>
          <w:bCs/>
          <w:sz w:val="40"/>
          <w:szCs w:val="40"/>
        </w:rPr>
        <w:t>NOTA DE PRENSA</w:t>
      </w:r>
      <w:r>
        <w:rPr>
          <w:rFonts w:ascii="Roboto" w:hAnsi="Roboto" w:eastAsia="Roboto" w:cs="Roboto"/>
          <w:sz w:val="22"/>
          <w:szCs w:val="22"/>
        </w:rPr>
        <w:t xml:space="preserve"> </w:t>
      </w:r>
    </w:p>
    <w:p w:rsidR="00D71728" w:rsidRDefault="00D71728" w14:paraId="5765B5CA" w14:textId="77777777">
      <w:pPr>
        <w:jc w:val="center"/>
        <w:rPr>
          <w:rFonts w:ascii="Roboto" w:hAnsi="Roboto" w:eastAsia="Roboto" w:cs="Roboto"/>
          <w:b/>
          <w:bCs/>
          <w:sz w:val="28"/>
          <w:szCs w:val="28"/>
        </w:rPr>
      </w:pPr>
    </w:p>
    <w:p w:rsidR="00D71728" w:rsidRDefault="00000000" w14:paraId="5765B5CB" w14:textId="77777777">
      <w:pPr>
        <w:jc w:val="center"/>
        <w:rPr>
          <w:rFonts w:ascii="Roboto" w:hAnsi="Roboto" w:eastAsia="Roboto" w:cs="Roboto"/>
          <w:b w:val="1"/>
          <w:bCs w:val="1"/>
          <w:sz w:val="28"/>
          <w:szCs w:val="28"/>
        </w:rPr>
      </w:pPr>
      <w:r w:rsidRPr="35D622AE">
        <w:rPr>
          <w:rFonts w:ascii="Roboto" w:hAnsi="Roboto" w:eastAsia="Roboto" w:cs="Roboto"/>
          <w:b w:val="1"/>
          <w:bCs w:val="1"/>
          <w:sz w:val="28"/>
          <w:szCs w:val="28"/>
        </w:rPr>
        <w:t xml:space="preserve">La Universidad de Zaragoza obtiene la acreditación </w:t>
      </w:r>
      <w:r w:rsidRPr="35D622AE">
        <w:rPr>
          <w:rFonts w:ascii="Roboto" w:hAnsi="Roboto" w:eastAsia="Roboto" w:cs="Roboto"/>
          <w:b w:val="1"/>
          <w:bCs w:val="1"/>
          <w:color w:val="auto"/>
          <w:sz w:val="28"/>
          <w:szCs w:val="28"/>
        </w:rPr>
        <w:t xml:space="preserve">de ENAC </w:t>
      </w:r>
      <w:r w:rsidRPr="35D622AE">
        <w:rPr>
          <w:rFonts w:ascii="Roboto" w:hAnsi="Roboto" w:eastAsia="Roboto" w:cs="Roboto"/>
          <w:b w:val="1"/>
          <w:bCs w:val="1"/>
          <w:sz w:val="28"/>
          <w:szCs w:val="28"/>
        </w:rPr>
        <w:t>como proveedor de ensayos de aptitud en el ámbito de la detección de encefalopatías espongiformes transmisibles</w:t>
      </w:r>
    </w:p>
    <w:p w:rsidR="00D71728" w:rsidRDefault="00D71728" w14:paraId="5765B5CC" w14:textId="77777777">
      <w:pPr>
        <w:jc w:val="center"/>
        <w:rPr>
          <w:rFonts w:ascii="Roboto" w:hAnsi="Roboto" w:eastAsia="Roboto" w:cs="Roboto"/>
          <w:b/>
          <w:bCs/>
          <w:sz w:val="28"/>
          <w:szCs w:val="28"/>
        </w:rPr>
      </w:pPr>
    </w:p>
    <w:p w:rsidR="00D71728" w:rsidRDefault="00000000" w14:paraId="5765B5CD" w14:textId="77777777">
      <w:pPr>
        <w:numPr>
          <w:ilvl w:val="0"/>
          <w:numId w:val="1"/>
        </w:numPr>
        <w:jc w:val="both"/>
        <w:rPr>
          <w:rFonts w:ascii="Roboto" w:hAnsi="Roboto" w:eastAsia="Roboto" w:cs="Roboto"/>
          <w:b/>
          <w:bCs/>
          <w:sz w:val="22"/>
          <w:szCs w:val="22"/>
        </w:rPr>
      </w:pPr>
      <w:r>
        <w:rPr>
          <w:rFonts w:ascii="Roboto" w:hAnsi="Roboto" w:eastAsia="Roboto" w:cs="Roboto"/>
          <w:b/>
          <w:bCs/>
          <w:sz w:val="22"/>
          <w:szCs w:val="22"/>
        </w:rPr>
        <w:t xml:space="preserve">Los ejercicios acreditados abarcan ensayos relacionados con la detección de distintas encefalopatías espongiformes transmisibles en diferentes especies animales, entre ellas la conocida popularmente como enfermedad de las vacas locas. </w:t>
      </w:r>
    </w:p>
    <w:p w:rsidR="00D71728" w:rsidRDefault="00D71728" w14:paraId="5765B5CE" w14:textId="77777777">
      <w:pPr>
        <w:ind w:left="720"/>
        <w:jc w:val="both"/>
        <w:rPr>
          <w:rFonts w:ascii="Roboto" w:hAnsi="Roboto" w:eastAsia="Roboto" w:cs="Roboto"/>
          <w:b/>
          <w:bCs/>
          <w:sz w:val="22"/>
          <w:szCs w:val="22"/>
        </w:rPr>
      </w:pPr>
    </w:p>
    <w:p w:rsidR="00D71728" w:rsidRDefault="00000000" w14:paraId="5765B5CF" w14:textId="77777777">
      <w:pPr>
        <w:numPr>
          <w:ilvl w:val="0"/>
          <w:numId w:val="1"/>
        </w:numPr>
        <w:jc w:val="both"/>
        <w:rPr>
          <w:rFonts w:ascii="Roboto" w:hAnsi="Roboto" w:eastAsia="Roboto" w:cs="Roboto"/>
          <w:b/>
          <w:bCs/>
          <w:sz w:val="22"/>
          <w:szCs w:val="22"/>
        </w:rPr>
      </w:pPr>
      <w:r>
        <w:rPr>
          <w:rFonts w:ascii="Roboto" w:hAnsi="Roboto" w:eastAsia="Roboto" w:cs="Roboto"/>
          <w:b/>
          <w:bCs/>
          <w:sz w:val="22"/>
          <w:szCs w:val="22"/>
        </w:rPr>
        <w:t>Este reconocimiento avala la competencia técnica del centro para el desarrollo de estos ejercicios dirigidos a laboratorios que realizan el diagnóstico de estas enfermedades, que son una de las herramientas de aseguramiento de la validez de los resultados en un área de especial relevancia para la sanidad animal y la seguridad alimentaria.</w:t>
      </w:r>
    </w:p>
    <w:p w:rsidR="00D71728" w:rsidRDefault="00D71728" w14:paraId="5765B5D0" w14:textId="77777777">
      <w:pPr>
        <w:jc w:val="both"/>
      </w:pPr>
    </w:p>
    <w:p w:rsidR="00D71728" w:rsidP="35D622AE" w:rsidRDefault="00000000" w14:paraId="5765B5D1" w14:textId="4FFA71BF">
      <w:pPr>
        <w:jc w:val="both"/>
        <w:rPr>
          <w:rFonts w:ascii="Roboto" w:hAnsi="Roboto" w:eastAsia="Roboto" w:cs="Roboto"/>
          <w:b w:val="1"/>
          <w:bCs w:val="1"/>
          <w:sz w:val="22"/>
          <w:szCs w:val="22"/>
          <w:lang w:val="es-ES"/>
        </w:rPr>
      </w:pPr>
      <w:r w:rsidRPr="0496BCC5" w:rsidR="00000000">
        <w:rPr>
          <w:rFonts w:ascii="Roboto" w:hAnsi="Roboto" w:eastAsia="Roboto" w:cs="Roboto"/>
          <w:sz w:val="22"/>
          <w:szCs w:val="22"/>
          <w:lang w:val="es-ES"/>
        </w:rPr>
        <w:t xml:space="preserve">Madrid, </w:t>
      </w:r>
      <w:r w:rsidRPr="0496BCC5" w:rsidR="6EB615A8">
        <w:rPr>
          <w:rFonts w:ascii="Roboto" w:hAnsi="Roboto" w:eastAsia="Roboto" w:cs="Roboto"/>
          <w:sz w:val="22"/>
          <w:szCs w:val="22"/>
          <w:lang w:val="es-ES"/>
        </w:rPr>
        <w:t>23 de septiembre</w:t>
      </w:r>
      <w:r w:rsidRPr="0496BCC5" w:rsidR="00000000">
        <w:rPr>
          <w:rFonts w:ascii="Roboto" w:hAnsi="Roboto" w:eastAsia="Roboto" w:cs="Roboto"/>
          <w:sz w:val="22"/>
          <w:szCs w:val="22"/>
          <w:lang w:val="es-ES"/>
        </w:rPr>
        <w:t xml:space="preserve"> de 2026.- El </w:t>
      </w:r>
      <w:r w:rsidRPr="0496BCC5" w:rsidR="00000000">
        <w:rPr>
          <w:rFonts w:ascii="Roboto" w:hAnsi="Roboto" w:eastAsia="Roboto" w:cs="Roboto"/>
          <w:b w:val="1"/>
          <w:bCs w:val="1"/>
          <w:sz w:val="22"/>
          <w:szCs w:val="22"/>
          <w:lang w:val="es-ES"/>
        </w:rPr>
        <w:t>Centro de Investigación en Encefalopatías y Enfermedades Transmisibles Emergentes (CIET)</w:t>
      </w:r>
      <w:r w:rsidRPr="0496BCC5" w:rsidR="00000000">
        <w:rPr>
          <w:rFonts w:ascii="Roboto" w:hAnsi="Roboto" w:eastAsia="Roboto" w:cs="Roboto"/>
          <w:sz w:val="22"/>
          <w:szCs w:val="22"/>
          <w:lang w:val="es-ES"/>
        </w:rPr>
        <w:t xml:space="preserve"> de la Universidad de Zaragoza ha obtenido la acreditación </w:t>
      </w:r>
      <w:sdt>
        <w:sdtPr>
          <w:id w:val="-162731753"/>
          <w:tag w:val="goog_rdk_0"/>
          <w:placeholder>
            <w:docPart w:val="DefaultPlaceholder_1081868574"/>
          </w:placeholder>
        </w:sdtPr>
        <w:sdtContent>
          <w:r w:rsidRPr="0496BCC5" w:rsidR="00000000">
            <w:rPr>
              <w:rFonts w:ascii="Roboto" w:hAnsi="Roboto" w:eastAsia="Roboto" w:cs="Roboto"/>
              <w:sz w:val="22"/>
              <w:szCs w:val="22"/>
              <w:lang w:val="es-ES"/>
            </w:rPr>
            <w:t xml:space="preserve">de ENAC, la </w:t>
          </w:r>
          <w:hyperlink r:id="R695cef72e2b140f9">
            <w:r w:rsidRPr="0496BCC5" w:rsidR="00000000">
              <w:rPr>
                <w:rFonts w:ascii="Roboto" w:hAnsi="Roboto" w:eastAsia="Roboto" w:cs="Roboto"/>
                <w:color w:val="1155CC"/>
                <w:sz w:val="22"/>
                <w:szCs w:val="22"/>
                <w:u w:val="single"/>
                <w:lang w:val="es-ES"/>
              </w:rPr>
              <w:t>Entidad Nacional de Acreditación</w:t>
            </w:r>
          </w:hyperlink>
          <w:r w:rsidRPr="0496BCC5" w:rsidR="00000000">
            <w:rPr>
              <w:rFonts w:ascii="Roboto" w:hAnsi="Roboto" w:eastAsia="Roboto" w:cs="Roboto"/>
              <w:sz w:val="22"/>
              <w:szCs w:val="22"/>
              <w:lang w:val="es-ES"/>
            </w:rPr>
            <w:t>,</w:t>
          </w:r>
        </w:sdtContent>
      </w:sdt>
      <w:r w:rsidRPr="0496BCC5" w:rsidR="00000000">
        <w:rPr>
          <w:rFonts w:ascii="Roboto" w:hAnsi="Roboto" w:eastAsia="Roboto" w:cs="Roboto"/>
          <w:sz w:val="22"/>
          <w:szCs w:val="22"/>
          <w:lang w:val="es-ES"/>
        </w:rPr>
        <w:t xml:space="preserve"> como proveedor de ensayos de aptitud para la detección de la forma patógena de la proteína </w:t>
      </w:r>
      <w:r w:rsidRPr="0496BCC5" w:rsidR="00000000">
        <w:rPr>
          <w:rFonts w:ascii="Roboto" w:hAnsi="Roboto" w:eastAsia="Roboto" w:cs="Roboto"/>
          <w:sz w:val="22"/>
          <w:szCs w:val="22"/>
          <w:lang w:val="es-ES"/>
        </w:rPr>
        <w:t>prión</w:t>
      </w:r>
      <w:r w:rsidRPr="0496BCC5" w:rsidR="00000000">
        <w:rPr>
          <w:rFonts w:ascii="Roboto" w:hAnsi="Roboto" w:eastAsia="Roboto" w:cs="Roboto"/>
          <w:sz w:val="22"/>
          <w:szCs w:val="22"/>
          <w:lang w:val="es-ES"/>
        </w:rPr>
        <w:t xml:space="preserve"> de las encefalopatías espongiformes transmisibles (EET). Este reconocimiento avala la competencia técnica del centro para el desarrollo de estos ejercicios dirigidos a </w:t>
      </w:r>
      <w:r w:rsidRPr="0496BCC5" w:rsidR="00000000">
        <w:rPr>
          <w:rFonts w:ascii="Roboto" w:hAnsi="Roboto" w:eastAsia="Roboto" w:cs="Roboto"/>
          <w:b w:val="1"/>
          <w:bCs w:val="1"/>
          <w:sz w:val="22"/>
          <w:szCs w:val="22"/>
          <w:lang w:val="es-ES"/>
        </w:rPr>
        <w:t>laboratorios que realizan el diagnóstico de estas enfermedades, que son una de las herramientas de aseguramiento de la validez de los resultados en un área de especial relevancia para la sanidad animal y la seguridad alimentaria.</w:t>
      </w:r>
    </w:p>
    <w:p w:rsidR="00D71728" w:rsidRDefault="00D71728" w14:paraId="5765B5D2" w14:textId="77777777">
      <w:pPr>
        <w:jc w:val="both"/>
        <w:rPr>
          <w:rFonts w:ascii="Roboto" w:hAnsi="Roboto" w:eastAsia="Roboto" w:cs="Roboto"/>
          <w:sz w:val="22"/>
          <w:szCs w:val="22"/>
        </w:rPr>
      </w:pPr>
    </w:p>
    <w:p w:rsidR="00D71728" w:rsidRDefault="00000000" w14:paraId="5765B5D3" w14:textId="77777777">
      <w:pPr>
        <w:jc w:val="both"/>
        <w:rPr>
          <w:rFonts w:ascii="Roboto" w:hAnsi="Roboto" w:eastAsia="Roboto" w:cs="Roboto"/>
          <w:sz w:val="22"/>
          <w:szCs w:val="22"/>
        </w:rPr>
      </w:pPr>
      <w:r>
        <w:rPr>
          <w:rFonts w:ascii="Roboto" w:hAnsi="Roboto" w:eastAsia="Roboto" w:cs="Roboto"/>
          <w:sz w:val="22"/>
          <w:szCs w:val="22"/>
        </w:rPr>
        <w:t xml:space="preserve">Las encefalopatías espongiformes transmisibles son un grupo de enfermedades neurodegenerativas que pueden afectar tanto a animales como a personas. Entre ellas, se encuentra la encefalopatía espongiforme bovina (EEB), conocida popularmente como enfermedad de las vacas locas, así como otras enfermedades que afectan a diferentes especies animales y cuya </w:t>
      </w:r>
      <w:r>
        <w:rPr>
          <w:rFonts w:ascii="Roboto" w:hAnsi="Roboto" w:eastAsia="Roboto" w:cs="Roboto"/>
          <w:b/>
          <w:bCs/>
          <w:sz w:val="22"/>
          <w:szCs w:val="22"/>
        </w:rPr>
        <w:t>vigilancia resulta esencial para proteger la salud animal, la cadena alimentaria y, en determinados casos, la salud pública</w:t>
      </w:r>
      <w:r>
        <w:rPr>
          <w:rFonts w:ascii="Roboto" w:hAnsi="Roboto" w:eastAsia="Roboto" w:cs="Roboto"/>
          <w:sz w:val="22"/>
          <w:szCs w:val="22"/>
        </w:rPr>
        <w:t>.</w:t>
      </w:r>
    </w:p>
    <w:p w:rsidR="00D71728" w:rsidRDefault="00D71728" w14:paraId="5765B5D4" w14:textId="77777777">
      <w:pPr>
        <w:jc w:val="both"/>
        <w:rPr>
          <w:rFonts w:ascii="Roboto" w:hAnsi="Roboto" w:eastAsia="Roboto" w:cs="Roboto"/>
          <w:sz w:val="22"/>
          <w:szCs w:val="22"/>
        </w:rPr>
      </w:pPr>
    </w:p>
    <w:p w:rsidR="00D71728" w:rsidP="35D622AE" w:rsidRDefault="00000000" w14:paraId="5765B5D5" w14:textId="77777777">
      <w:pPr>
        <w:jc w:val="both"/>
        <w:rPr>
          <w:rFonts w:ascii="Roboto" w:hAnsi="Roboto" w:eastAsia="Roboto" w:cs="Roboto"/>
          <w:sz w:val="22"/>
          <w:szCs w:val="22"/>
          <w:lang w:val="es-ES"/>
        </w:rPr>
      </w:pPr>
      <w:r w:rsidRPr="35D622AE">
        <w:rPr>
          <w:rFonts w:ascii="Roboto" w:hAnsi="Roboto" w:eastAsia="Roboto" w:cs="Roboto"/>
          <w:sz w:val="22"/>
          <w:szCs w:val="22"/>
          <w:lang w:val="es-ES"/>
        </w:rPr>
        <w:t>El CIET es un centro de referencia en la investigación y el diagnóstico de estas enfermedades, desarrollando actividades de apoyo a los programas nacionales e internacionales de vigilancia y control, así como proyectos de investigación orientados a mejorar el conocimiento de las enfermedades priónicas y las herramientas para su detección y diagnóstico.</w:t>
      </w:r>
    </w:p>
    <w:p w:rsidR="00D71728" w:rsidRDefault="00D71728" w14:paraId="5765B5D6" w14:textId="77777777">
      <w:pPr>
        <w:jc w:val="both"/>
        <w:rPr>
          <w:rFonts w:ascii="Roboto" w:hAnsi="Roboto" w:eastAsia="Roboto" w:cs="Roboto"/>
          <w:sz w:val="22"/>
          <w:szCs w:val="22"/>
        </w:rPr>
      </w:pPr>
    </w:p>
    <w:p w:rsidR="00D71728" w:rsidP="35D622AE" w:rsidRDefault="00000000" w14:paraId="5765B5D7" w14:textId="77777777">
      <w:pPr>
        <w:jc w:val="both"/>
        <w:rPr>
          <w:rFonts w:ascii="Roboto" w:hAnsi="Roboto" w:eastAsia="Roboto" w:cs="Roboto"/>
          <w:sz w:val="22"/>
          <w:szCs w:val="22"/>
          <w:lang w:val="es-ES"/>
        </w:rPr>
      </w:pPr>
      <w:r w:rsidRPr="35D622AE">
        <w:rPr>
          <w:rFonts w:ascii="Roboto" w:hAnsi="Roboto" w:eastAsia="Roboto" w:cs="Roboto"/>
          <w:sz w:val="22"/>
          <w:szCs w:val="22"/>
          <w:lang w:val="es-ES"/>
        </w:rPr>
        <w:t xml:space="preserve">Los ensayos de aptitud constituyen una herramienta fundamental para que los laboratorios puedan evaluar y demostrar la fiabilidad de sus resultados mediante la comparación de su desempeño con el de otros laboratorios. En este caso, </w:t>
      </w:r>
      <w:r w:rsidRPr="35D622AE">
        <w:rPr>
          <w:rFonts w:ascii="Roboto" w:hAnsi="Roboto" w:eastAsia="Roboto" w:cs="Roboto"/>
          <w:b w:val="1"/>
          <w:bCs w:val="1"/>
          <w:sz w:val="22"/>
          <w:szCs w:val="22"/>
          <w:lang w:val="es-ES"/>
        </w:rPr>
        <w:t>los ejercicios acreditados abarcan ensayos relacionados con la detección de distintas encefalopatías espongiformes transmisibles en diferentes especies animales,</w:t>
      </w:r>
      <w:r w:rsidRPr="35D622AE">
        <w:rPr>
          <w:rFonts w:ascii="Roboto" w:hAnsi="Roboto" w:eastAsia="Roboto" w:cs="Roboto"/>
          <w:sz w:val="22"/>
          <w:szCs w:val="22"/>
          <w:lang w:val="es-ES"/>
        </w:rPr>
        <w:t xml:space="preserve"> contribuyendo a reforzar la calidad y comparabilidad de los resultados obtenidos por los laboratorios participantes.</w:t>
      </w:r>
    </w:p>
    <w:p w:rsidR="00D71728" w:rsidRDefault="00D71728" w14:paraId="5765B5D8" w14:textId="77777777">
      <w:pPr>
        <w:jc w:val="both"/>
        <w:rPr>
          <w:rFonts w:ascii="Roboto" w:hAnsi="Roboto" w:eastAsia="Roboto" w:cs="Roboto"/>
          <w:sz w:val="22"/>
          <w:szCs w:val="22"/>
        </w:rPr>
      </w:pPr>
    </w:p>
    <w:p w:rsidR="00D71728" w:rsidP="35D622AE" w:rsidRDefault="00000000" w14:paraId="5765B5D9" w14:textId="77777777">
      <w:pPr>
        <w:jc w:val="both"/>
        <w:rPr>
          <w:rFonts w:ascii="Roboto" w:hAnsi="Roboto" w:eastAsia="Roboto" w:cs="Roboto"/>
          <w:sz w:val="22"/>
          <w:szCs w:val="22"/>
          <w:lang w:val="es-ES"/>
        </w:rPr>
      </w:pPr>
      <w:r w:rsidRPr="35D622AE">
        <w:rPr>
          <w:rFonts w:ascii="Roboto" w:hAnsi="Roboto" w:eastAsia="Roboto" w:cs="Roboto"/>
          <w:sz w:val="22"/>
          <w:szCs w:val="22"/>
          <w:lang w:val="es-ES"/>
        </w:rPr>
        <w:t>A través del proceso de acreditación, el centro de investigación ha demostrado que cumple con los requisitos de la norma UNE-EN ISO/IEC 17043, que dispone de la competencia técnica necesaria para la realización de este tipo de ejercicios y que cuenta con recursos técnicos y humanos y una estructura organizacional capaz de proporcionar la imparcialidad y confidencialidad requeridas para la actividad, aportando confianza a los laboratorios participantes, a las autoridades responsables de los programas de vigilancia y control de estas enfermedades y a otros usuarios de estos resultados.</w:t>
      </w:r>
    </w:p>
    <w:p w:rsidR="00D71728" w:rsidRDefault="00D71728" w14:paraId="5765B5DA" w14:textId="77777777">
      <w:pPr>
        <w:jc w:val="both"/>
        <w:rPr>
          <w:rFonts w:ascii="Roboto" w:hAnsi="Roboto" w:eastAsia="Roboto" w:cs="Roboto"/>
          <w:sz w:val="22"/>
          <w:szCs w:val="22"/>
        </w:rPr>
      </w:pPr>
    </w:p>
    <w:p w:rsidR="00D71728" w:rsidRDefault="00000000" w14:paraId="5765B5DB" w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spacing w:after="160"/>
        <w:jc w:val="both"/>
        <w:rPr>
          <w:rFonts w:ascii="Roboto" w:hAnsi="Roboto" w:eastAsia="Roboto" w:cs="Roboto"/>
          <w:color w:val="E83544"/>
          <w:sz w:val="22"/>
          <w:szCs w:val="22"/>
        </w:rPr>
      </w:pPr>
      <w:r>
        <w:rPr>
          <w:rFonts w:ascii="Roboto" w:hAnsi="Roboto" w:eastAsia="Roboto" w:cs="Roboto"/>
          <w:b/>
          <w:bCs/>
          <w:color w:val="E83544"/>
          <w:sz w:val="22"/>
          <w:szCs w:val="22"/>
        </w:rPr>
        <w:t>Sobre ENAC</w:t>
      </w:r>
      <w:r>
        <w:rPr>
          <w:rFonts w:ascii="Roboto" w:hAnsi="Roboto" w:eastAsia="Roboto" w:cs="Roboto"/>
          <w:color w:val="E83544"/>
          <w:sz w:val="22"/>
          <w:szCs w:val="22"/>
        </w:rPr>
        <w:t xml:space="preserve"> </w:t>
      </w:r>
    </w:p>
    <w:p w:rsidR="00D71728" w:rsidRDefault="00000000" w14:paraId="5765B5DC" w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spacing w:line="259" w:lineRule="auto"/>
        <w:jc w:val="both"/>
        <w:rPr>
          <w:rFonts w:ascii="Roboto" w:hAnsi="Roboto" w:eastAsia="Roboto" w:cs="Roboto"/>
          <w:sz w:val="22"/>
          <w:szCs w:val="22"/>
        </w:rPr>
      </w:pPr>
      <w:r>
        <w:rPr>
          <w:rFonts w:ascii="Roboto" w:hAnsi="Roboto" w:eastAsia="Roboto" w:cs="Roboto"/>
          <w:sz w:val="22"/>
          <w:szCs w:val="22"/>
        </w:rPr>
        <w:t xml:space="preserve">La Entidad Nacional de Acreditación – ENAC – es la entidad designada por el Gobierno para operar en España como el único Organismo Nacional de Acreditación, en aplicación del Reglamento (CE) nº765/2008 del Parlamento Europeo que regula el funcionamiento de la acreditación en Europa. </w:t>
      </w:r>
    </w:p>
    <w:p w:rsidR="00D71728" w:rsidRDefault="00D71728" w14:paraId="5765B5DD" w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spacing w:line="259" w:lineRule="auto"/>
        <w:jc w:val="both"/>
        <w:rPr>
          <w:rFonts w:ascii="Roboto" w:hAnsi="Roboto" w:eastAsia="Roboto" w:cs="Roboto"/>
          <w:sz w:val="22"/>
          <w:szCs w:val="22"/>
        </w:rPr>
      </w:pPr>
    </w:p>
    <w:p w:rsidR="00D71728" w:rsidRDefault="00000000" w14:paraId="5765B5DE" w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spacing w:line="259" w:lineRule="auto"/>
        <w:jc w:val="both"/>
        <w:rPr>
          <w:rFonts w:ascii="Roboto" w:hAnsi="Roboto" w:eastAsia="Roboto" w:cs="Roboto"/>
          <w:sz w:val="22"/>
          <w:szCs w:val="22"/>
        </w:rPr>
      </w:pPr>
      <w:r>
        <w:rPr>
          <w:rFonts w:ascii="Roboto" w:hAnsi="Roboto" w:eastAsia="Roboto" w:cs="Roboto"/>
          <w:sz w:val="22"/>
          <w:szCs w:val="22"/>
        </w:rPr>
        <w:t xml:space="preserve">ENAC tiene como misión generar confianza en el mercado y en la sociedad evaluando, a través de un sistema conforme a normas internacionales, la competencia técnica de laboratorios de ensayo o calibración, entidades de inspección, entidades de certificación y verificadores medioambientales que desarrollen su actividad en cualquier sector: industria,  energía, medio ambiente, sanidad, alimentación, investigación, desarrollo e innovación, transportes, telecomunicaciones, turismo, servicios, construcción, etc. Contribuye, así, a la seguridad y el bienestar de las personas, la calidad de los productos y servicios, la protección del medioambiente y, con ello, al aumento de la competitividad de los productos y servicios españoles y a una disminución de los costes para la sociedad debidos a estas actividades.  </w:t>
      </w:r>
    </w:p>
    <w:p w:rsidR="00D71728" w:rsidRDefault="00D71728" w14:paraId="5765B5DF" w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spacing w:line="259" w:lineRule="auto"/>
        <w:jc w:val="both"/>
        <w:rPr>
          <w:rFonts w:ascii="Roboto" w:hAnsi="Roboto" w:eastAsia="Roboto" w:cs="Roboto"/>
          <w:sz w:val="22"/>
          <w:szCs w:val="22"/>
        </w:rPr>
      </w:pPr>
    </w:p>
    <w:p w:rsidR="00D71728" w:rsidRDefault="00000000" w14:paraId="5765B5E0" w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spacing w:line="259" w:lineRule="auto"/>
        <w:jc w:val="both"/>
        <w:rPr>
          <w:rFonts w:ascii="Roboto" w:hAnsi="Roboto" w:eastAsia="Roboto" w:cs="Roboto"/>
          <w:sz w:val="22"/>
          <w:szCs w:val="22"/>
        </w:rPr>
      </w:pPr>
      <w:r>
        <w:rPr>
          <w:rFonts w:ascii="Roboto" w:hAnsi="Roboto" w:eastAsia="Roboto" w:cs="Roboto"/>
          <w:sz w:val="22"/>
          <w:szCs w:val="22"/>
        </w:rPr>
        <w:t xml:space="preserve">La marca ENAC es la manera de distinguir si un certificado o informe está acreditado o no. Aporta confianza en que la organización que lo emite es técnicamente competente para llevar a cabo la tarea que realiza, y lo es tanto en España como en los 120 países en los que la marca de ENAC es reconocida y aceptada gracias a los acuerdos de reconocimiento que ENAC ha suscrito con las entidades de acreditación de esos países. </w:t>
      </w:r>
    </w:p>
    <w:p w:rsidR="00D71728" w:rsidRDefault="00D71728" w14:paraId="5765B5E1" w14:textId="77777777">
      <w:pPr>
        <w:jc w:val="both"/>
        <w:rPr>
          <w:rFonts w:ascii="Roboto" w:hAnsi="Roboto" w:eastAsia="Roboto" w:cs="Roboto"/>
          <w:sz w:val="22"/>
          <w:szCs w:val="22"/>
        </w:rPr>
      </w:pPr>
    </w:p>
    <w:p w:rsidR="00D71728" w:rsidRDefault="00000000" w14:paraId="5765B5E2" w14:textId="77777777">
      <w:pPr>
        <w:pBdr>
          <w:bottom w:val="single" w:color="000000" w:sz="12" w:space="1"/>
        </w:pBdr>
        <w:jc w:val="both"/>
        <w:rPr>
          <w:rFonts w:ascii="Roboto" w:hAnsi="Roboto" w:eastAsia="Roboto" w:cs="Roboto"/>
          <w:color w:val="E83544"/>
          <w:sz w:val="22"/>
          <w:szCs w:val="22"/>
        </w:rPr>
      </w:pPr>
      <w:hyperlink r:id="rId11">
        <w:r>
          <w:rPr>
            <w:rFonts w:ascii="Roboto" w:hAnsi="Roboto" w:eastAsia="Roboto" w:cs="Roboto"/>
            <w:color w:val="E83544"/>
            <w:sz w:val="22"/>
            <w:szCs w:val="22"/>
            <w:u w:val="single"/>
          </w:rPr>
          <w:t>www.enac.es</w:t>
        </w:r>
      </w:hyperlink>
      <w:r>
        <w:rPr>
          <w:rFonts w:ascii="Roboto" w:hAnsi="Roboto" w:eastAsia="Roboto" w:cs="Roboto"/>
          <w:color w:val="E83544"/>
          <w:sz w:val="22"/>
          <w:szCs w:val="22"/>
        </w:rPr>
        <w:t xml:space="preserve"> </w:t>
      </w:r>
    </w:p>
    <w:p w:rsidR="00D71728" w:rsidRDefault="00D71728" w14:paraId="5765B5E3" w14:textId="77777777">
      <w:pPr>
        <w:pBdr>
          <w:bottom w:val="single" w:color="000000" w:sz="12" w:space="1"/>
        </w:pBdr>
        <w:jc w:val="both"/>
        <w:rPr>
          <w:rFonts w:ascii="Roboto" w:hAnsi="Roboto" w:eastAsia="Roboto" w:cs="Roboto"/>
          <w:color w:val="E83544"/>
          <w:sz w:val="22"/>
          <w:szCs w:val="22"/>
        </w:rPr>
      </w:pPr>
    </w:p>
    <w:p w:rsidR="00D71728" w:rsidRDefault="00000000" w14:paraId="5765B5E4" w14:textId="77777777">
      <w:pPr>
        <w:pBdr>
          <w:bottom w:val="single" w:color="000000" w:sz="12" w:space="1"/>
        </w:pBdr>
        <w:jc w:val="both"/>
        <w:rPr>
          <w:rFonts w:ascii="Roboto" w:hAnsi="Roboto" w:eastAsia="Roboto" w:cs="Roboto"/>
          <w:sz w:val="22"/>
          <w:szCs w:val="22"/>
        </w:rPr>
      </w:pPr>
      <w:r>
        <w:rPr>
          <w:rFonts w:ascii="Roboto" w:hAnsi="Roboto" w:eastAsia="Roboto" w:cs="Roboto"/>
          <w:color w:val="0000FF"/>
          <w:sz w:val="22"/>
          <w:szCs w:val="22"/>
        </w:rPr>
        <w:t xml:space="preserve">  </w:t>
      </w:r>
      <w:r>
        <w:rPr>
          <w:rFonts w:ascii="Roboto" w:hAnsi="Roboto" w:eastAsia="Roboto" w:cs="Roboto"/>
          <w:noProof/>
          <w:color w:val="0000FF"/>
          <w:sz w:val="22"/>
          <w:szCs w:val="22"/>
        </w:rPr>
        <w:drawing>
          <wp:inline distT="0" distB="0" distL="0" distR="0" wp14:anchorId="5765B5ED" wp14:editId="5765B5EE">
            <wp:extent cx="304800" cy="3048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04800" cy="304800"/>
                    </a:xfrm>
                    <a:prstGeom prst="rect">
                      <a:avLst/>
                    </a:prstGeom>
                    <a:ln/>
                  </pic:spPr>
                </pic:pic>
              </a:graphicData>
            </a:graphic>
          </wp:inline>
        </w:drawing>
      </w:r>
    </w:p>
    <w:p w:rsidR="00D71728" w:rsidRDefault="00D71728" w14:paraId="5765B5E5" w14:textId="77777777">
      <w:pPr>
        <w:pBdr>
          <w:bottom w:val="single" w:color="000000" w:sz="12" w:space="1"/>
        </w:pBdr>
        <w:jc w:val="both"/>
        <w:rPr>
          <w:rFonts w:ascii="Roboto" w:hAnsi="Roboto" w:eastAsia="Roboto" w:cs="Roboto"/>
          <w:color w:val="E83544"/>
          <w:sz w:val="22"/>
          <w:szCs w:val="22"/>
        </w:rPr>
      </w:pPr>
    </w:p>
    <w:p w:rsidR="00D71728" w:rsidRDefault="00D71728" w14:paraId="5765B5E6" w14:textId="77777777">
      <w:pPr>
        <w:jc w:val="both"/>
        <w:rPr>
          <w:rFonts w:ascii="Roboto" w:hAnsi="Roboto" w:eastAsia="Roboto" w:cs="Roboto"/>
          <w:color w:val="E83544"/>
          <w:sz w:val="22"/>
          <w:szCs w:val="22"/>
        </w:rPr>
      </w:pPr>
    </w:p>
    <w:p w:rsidR="00D71728" w:rsidRDefault="00000000" w14:paraId="5765B5E7" w14:textId="77777777">
      <w:pPr>
        <w:jc w:val="both"/>
        <w:rPr>
          <w:rFonts w:ascii="Roboto" w:hAnsi="Roboto" w:eastAsia="Roboto" w:cs="Roboto"/>
          <w:sz w:val="22"/>
          <w:szCs w:val="22"/>
        </w:rPr>
      </w:pPr>
      <w:r>
        <w:rPr>
          <w:rFonts w:ascii="Roboto" w:hAnsi="Roboto" w:eastAsia="Roboto" w:cs="Roboto"/>
          <w:sz w:val="22"/>
          <w:szCs w:val="22"/>
        </w:rPr>
        <w:t>Para más información sobre la nota de prensa, resolver dudas o gestionar entrevistas</w:t>
      </w:r>
    </w:p>
    <w:p w:rsidR="00D71728" w:rsidRDefault="00000000" w14:paraId="5765B5E8" w14:textId="77777777">
      <w:pPr>
        <w:jc w:val="both"/>
        <w:rPr>
          <w:rFonts w:ascii="Roboto" w:hAnsi="Roboto" w:eastAsia="Roboto" w:cs="Roboto"/>
          <w:sz w:val="22"/>
          <w:szCs w:val="22"/>
        </w:rPr>
      </w:pPr>
      <w:r>
        <w:rPr>
          <w:rFonts w:ascii="Roboto" w:hAnsi="Roboto" w:eastAsia="Roboto" w:cs="Roboto"/>
          <w:sz w:val="22"/>
          <w:szCs w:val="22"/>
        </w:rPr>
        <w:t>Eva Martín</w:t>
      </w:r>
    </w:p>
    <w:p w:rsidR="00D71728" w:rsidRDefault="00000000" w14:paraId="5765B5E9" w14:textId="77777777">
      <w:pPr>
        <w:jc w:val="both"/>
        <w:rPr>
          <w:rFonts w:ascii="Roboto" w:hAnsi="Roboto" w:eastAsia="Roboto" w:cs="Roboto"/>
          <w:sz w:val="22"/>
          <w:szCs w:val="22"/>
        </w:rPr>
      </w:pPr>
      <w:r>
        <w:rPr>
          <w:rFonts w:ascii="Roboto" w:hAnsi="Roboto" w:eastAsia="Roboto" w:cs="Roboto"/>
          <w:sz w:val="22"/>
          <w:szCs w:val="22"/>
        </w:rPr>
        <w:t xml:space="preserve">Tfno. 628 17 49 01 / </w:t>
      </w:r>
      <w:r>
        <w:rPr>
          <w:rFonts w:ascii="Roboto" w:hAnsi="Roboto" w:eastAsia="Roboto" w:cs="Roboto"/>
          <w:color w:val="E83544"/>
          <w:sz w:val="22"/>
          <w:szCs w:val="22"/>
        </w:rPr>
        <w:t xml:space="preserve"> </w:t>
      </w:r>
      <w:hyperlink r:id="rId13">
        <w:r>
          <w:rPr>
            <w:rFonts w:ascii="Roboto" w:hAnsi="Roboto" w:eastAsia="Roboto" w:cs="Roboto"/>
            <w:color w:val="E83544"/>
            <w:sz w:val="22"/>
            <w:szCs w:val="22"/>
            <w:u w:val="single"/>
          </w:rPr>
          <w:t>evamc@varenga.es</w:t>
        </w:r>
      </w:hyperlink>
    </w:p>
    <w:p w:rsidR="00D71728" w:rsidRDefault="00D71728" w14:paraId="5765B5EA" w14:textId="77777777"/>
    <w:p w:rsidR="00D71728" w:rsidRDefault="00D71728" w14:paraId="5765B5EB" w14:textId="77777777"/>
    <w:p w:rsidR="00D71728" w:rsidRDefault="00D71728" w14:paraId="5765B5EC" w14:textId="77777777">
      <w:pPr>
        <w:pBdr>
          <w:top w:val="nil"/>
          <w:left w:val="nil"/>
          <w:bottom w:val="nil"/>
          <w:right w:val="nil"/>
          <w:between w:val="nil"/>
        </w:pBdr>
        <w:rPr>
          <w:rFonts w:ascii="Calibri" w:hAnsi="Calibri" w:eastAsia="Calibri" w:cs="Calibri"/>
          <w:highlight w:val="white"/>
        </w:rPr>
      </w:pPr>
    </w:p>
    <w:sectPr w:rsidR="00D71728">
      <w:headerReference w:type="even" r:id="rId14"/>
      <w:headerReference w:type="default" r:id="rId15"/>
      <w:footerReference w:type="even" r:id="rId16"/>
      <w:footerReference w:type="default" r:id="rId17"/>
      <w:headerReference w:type="first" r:id="rId18"/>
      <w:footerReference w:type="first" r:id="rId19"/>
      <w:pgSz w:w="11906" w:h="16838" w:orient="portrait"/>
      <w:pgMar w:top="1417" w:right="1701" w:bottom="1276"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1090" w:rsidRDefault="007F1090" w14:paraId="5397D7DE" w14:textId="77777777">
      <w:r>
        <w:separator/>
      </w:r>
    </w:p>
  </w:endnote>
  <w:endnote w:type="continuationSeparator" w:id="0">
    <w:p w:rsidR="007F1090" w:rsidRDefault="007F1090" w14:paraId="77F3E5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w:fontKey="{72E3FA1E-6972-40E1-A48A-7F10A9EC09F1}" r:id="rId1"/>
  </w:font>
  <w:font w:name="Roboto">
    <w:panose1 w:val="02000000000000000000"/>
    <w:charset w:val="00"/>
    <w:family w:val="auto"/>
    <w:pitch w:val="variable"/>
    <w:sig w:usb0="E0000AFF" w:usb1="5000217F" w:usb2="00000021" w:usb3="00000000" w:csb0="0000019F" w:csb1="00000000"/>
    <w:embedRegular w:fontKey="{78E822EC-E0CF-4EC8-AF56-5808DE93D35C}" r:id="rId2"/>
    <w:embedBold w:fontKey="{BBBA6ABF-4D24-46FC-8542-4806386E53D4}" r:id="rId3"/>
  </w:font>
  <w:font w:name="Calibri">
    <w:panose1 w:val="020F0502020204030204"/>
    <w:charset w:val="00"/>
    <w:family w:val="swiss"/>
    <w:pitch w:val="variable"/>
    <w:sig w:usb0="E4002EFF" w:usb1="C200247B" w:usb2="00000009" w:usb3="00000000" w:csb0="000001FF" w:csb1="00000000"/>
    <w:embedRegular w:fontKey="{D4748592-92C9-409B-AD7E-F05D0414B5E9}" r:id="rId4"/>
  </w:font>
  <w:font w:name="Cambria">
    <w:panose1 w:val="02040503050406030204"/>
    <w:charset w:val="00"/>
    <w:family w:val="roman"/>
    <w:pitch w:val="variable"/>
    <w:sig w:usb0="E00006FF" w:usb1="420024FF" w:usb2="02000000" w:usb3="00000000" w:csb0="0000019F" w:csb1="00000000"/>
    <w:embedRegular w:fontKey="{BAA19BFE-128A-42A0-9149-2B3B16C288D2}"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1728" w:rsidRDefault="00D71728" w14:paraId="5765B5F5" w14:textId="77777777">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1728" w:rsidRDefault="00000000" w14:paraId="5765B5F6" w14:textId="464A6B76">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6B5FD9">
      <w:rPr>
        <w:noProof/>
        <w:color w:val="000000"/>
      </w:rPr>
      <w:t>1</w:t>
    </w:r>
    <w:r>
      <w:rPr>
        <w:color w:val="000000"/>
      </w:rPr>
      <w:fldChar w:fldCharType="end"/>
    </w:r>
  </w:p>
  <w:p w:rsidR="00D71728" w:rsidRDefault="00D71728" w14:paraId="5765B5F7" w14:textId="77777777">
    <w:pPr>
      <w:pBdr>
        <w:top w:val="nil"/>
        <w:left w:val="nil"/>
        <w:bottom w:val="nil"/>
        <w:right w:val="nil"/>
        <w:between w:val="nil"/>
      </w:pBdr>
      <w:tabs>
        <w:tab w:val="center" w:pos="4252"/>
        <w:tab w:val="right" w:pos="8504"/>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1728" w:rsidRDefault="00D71728" w14:paraId="5765B5F9" w14:textId="77777777">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1090" w:rsidRDefault="007F1090" w14:paraId="1323DEF9" w14:textId="77777777">
      <w:r>
        <w:separator/>
      </w:r>
    </w:p>
  </w:footnote>
  <w:footnote w:type="continuationSeparator" w:id="0">
    <w:p w:rsidR="007F1090" w:rsidRDefault="007F1090" w14:paraId="0B3C3A4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1728" w:rsidRDefault="00D71728" w14:paraId="5765B5EF" w14:textId="77777777">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71728" w:rsidRDefault="00000000" w14:paraId="5765B5F0" w14:textId="77777777">
    <w:pPr>
      <w:spacing w:line="276" w:lineRule="auto"/>
    </w:pPr>
    <w:r>
      <w:t xml:space="preserve">                                                                           </w:t>
    </w:r>
    <w:r>
      <w:rPr>
        <w:noProof/>
      </w:rPr>
      <w:drawing>
        <wp:anchor distT="0" distB="0" distL="0" distR="0" simplePos="0" relativeHeight="251658240" behindDoc="0" locked="0" layoutInCell="1" hidden="0" allowOverlap="1" wp14:anchorId="5765B5FA" wp14:editId="5765B5FB">
          <wp:simplePos x="0" y="0"/>
          <wp:positionH relativeFrom="column">
            <wp:posOffset>19050</wp:posOffset>
          </wp:positionH>
          <wp:positionV relativeFrom="paragraph">
            <wp:posOffset>19050</wp:posOffset>
          </wp:positionV>
          <wp:extent cx="1240365" cy="805879"/>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40365" cy="805879"/>
                  </a:xfrm>
                  <a:prstGeom prst="rect">
                    <a:avLst/>
                  </a:prstGeom>
                  <a:ln/>
                </pic:spPr>
              </pic:pic>
            </a:graphicData>
          </a:graphic>
        </wp:anchor>
      </w:drawing>
    </w:r>
    <w:r>
      <w:rPr>
        <w:noProof/>
      </w:rPr>
      <w:drawing>
        <wp:anchor distT="0" distB="0" distL="0" distR="0" simplePos="0" relativeHeight="251659264" behindDoc="0" locked="0" layoutInCell="1" hidden="0" allowOverlap="1" wp14:anchorId="5765B5FC" wp14:editId="5765B5FD">
          <wp:simplePos x="0" y="0"/>
          <wp:positionH relativeFrom="column">
            <wp:posOffset>4152900</wp:posOffset>
          </wp:positionH>
          <wp:positionV relativeFrom="paragraph">
            <wp:posOffset>142875</wp:posOffset>
          </wp:positionV>
          <wp:extent cx="1157297" cy="684798"/>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t="-8" b="-8"/>
                  <a:stretch>
                    <a:fillRect/>
                  </a:stretch>
                </pic:blipFill>
                <pic:spPr>
                  <a:xfrm>
                    <a:off x="0" y="0"/>
                    <a:ext cx="1157297" cy="684798"/>
                  </a:xfrm>
                  <a:prstGeom prst="rect">
                    <a:avLst/>
                  </a:prstGeom>
                  <a:ln/>
                </pic:spPr>
              </pic:pic>
            </a:graphicData>
          </a:graphic>
        </wp:anchor>
      </w:drawing>
    </w:r>
  </w:p>
  <w:p w:rsidR="00D71728" w:rsidRDefault="00D71728" w14:paraId="5765B5F1" w14:textId="77777777">
    <w:pPr>
      <w:spacing w:line="276" w:lineRule="auto"/>
    </w:pPr>
  </w:p>
  <w:p w:rsidR="00D71728" w:rsidRDefault="00D71728" w14:paraId="5765B5F2" w14:textId="77777777">
    <w:pPr>
      <w:spacing w:line="276" w:lineRule="auto"/>
    </w:pPr>
  </w:p>
  <w:p w:rsidR="00D71728" w:rsidRDefault="00D71728" w14:paraId="5765B5F3" w14:textId="77777777">
    <w:pPr>
      <w:spacing w:line="276" w:lineRule="auto"/>
    </w:pPr>
  </w:p>
  <w:p w:rsidR="00D71728" w:rsidRDefault="00D71728" w14:paraId="5765B5F4" w14:textId="77777777">
    <w:pPr>
      <w:spacing w:line="276"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1728" w:rsidRDefault="00D71728" w14:paraId="5765B5F8" w14:textId="77777777">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A1DE7"/>
    <w:multiLevelType w:val="multilevel"/>
    <w:tmpl w:val="A9BCF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3109708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3"/>
  <w:embedTrueTypeFonts/>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728"/>
    <w:rsid w:val="00000000"/>
    <w:rsid w:val="006B5FD9"/>
    <w:rsid w:val="007F1090"/>
    <w:rsid w:val="00B46CF2"/>
    <w:rsid w:val="00D71728"/>
    <w:rsid w:val="0496BCC5"/>
    <w:rsid w:val="35D622AE"/>
    <w:rsid w:val="6EB615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B5C9"/>
  <w15:docId w15:val="{78B9774D-F8A4-4D1F-A878-F190D77633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leNormal0" w:customStyle="1">
    <w:name w:val="TableNormal0"/>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paragraph" w:styleId="Revisin">
    <w:name w:val="Revision"/>
    <w:hidden/>
    <w:uiPriority w:val="99"/>
    <w:semiHidden/>
    <w:rsid w:val="006B5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evamc@varenga.es"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enac.e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ww.enac.es/" TargetMode="External" Id="R695cef72e2b140f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290ce1-b2e7-4ccb-948d-a290ef611fa1">
      <Terms xmlns="http://schemas.microsoft.com/office/infopath/2007/PartnerControls"/>
    </lcf76f155ced4ddcb4097134ff3c332f>
    <TaxCatchAll xmlns="909e21e3-a2e2-47ca-be0e-9c3a9bef92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152DE15686E4843A3780C010A78B13A" ma:contentTypeVersion="16" ma:contentTypeDescription="Crear nuevo documento." ma:contentTypeScope="" ma:versionID="35b7714a55062d14d892f3522112704a">
  <xsd:schema xmlns:xsd="http://www.w3.org/2001/XMLSchema" xmlns:xs="http://www.w3.org/2001/XMLSchema" xmlns:p="http://schemas.microsoft.com/office/2006/metadata/properties" xmlns:ns2="6e290ce1-b2e7-4ccb-948d-a290ef611fa1" xmlns:ns3="909e21e3-a2e2-47ca-be0e-9c3a9bef9292" targetNamespace="http://schemas.microsoft.com/office/2006/metadata/properties" ma:root="true" ma:fieldsID="92a12215dc0792136b523b9589aa527d" ns2:_="" ns3:_="">
    <xsd:import namespace="6e290ce1-b2e7-4ccb-948d-a290ef611fa1"/>
    <xsd:import namespace="909e21e3-a2e2-47ca-be0e-9c3a9bef929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0ce1-b2e7-4ccb-948d-a290ef611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5c5079e-b5d9-4f40-8558-acc8d9d79a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e21e3-a2e2-47ca-be0e-9c3a9bef9292"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36efcf77-0706-4f8e-b256-a6b4bd8b1840}" ma:internalName="TaxCatchAll" ma:showField="CatchAllData" ma:web="909e21e3-a2e2-47ca-be0e-9c3a9bef9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ouMSFMvg5GOeccP3Za3neQp8jA==">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</go:docsCustomData>
</go:gDocsCustomXmlDataStorage>
</file>

<file path=customXml/itemProps1.xml><?xml version="1.0" encoding="utf-8"?>
<ds:datastoreItem xmlns:ds="http://schemas.openxmlformats.org/officeDocument/2006/customXml" ds:itemID="{FCA81EAE-2FD5-4A10-88C4-0FCC28233D71}">
  <ds:schemaRefs>
    <ds:schemaRef ds:uri="http://schemas.microsoft.com/office/2006/metadata/properties"/>
    <ds:schemaRef ds:uri="http://schemas.microsoft.com/office/infopath/2007/PartnerControls"/>
    <ds:schemaRef ds:uri="6e290ce1-b2e7-4ccb-948d-a290ef611fa1"/>
    <ds:schemaRef ds:uri="909e21e3-a2e2-47ca-be0e-9c3a9bef9292"/>
  </ds:schemaRefs>
</ds:datastoreItem>
</file>

<file path=customXml/itemProps2.xml><?xml version="1.0" encoding="utf-8"?>
<ds:datastoreItem xmlns:ds="http://schemas.openxmlformats.org/officeDocument/2006/customXml" ds:itemID="{E9BC96B9-4F12-44B7-94DE-FFF7D4CF4CF3}">
  <ds:schemaRefs>
    <ds:schemaRef ds:uri="http://schemas.microsoft.com/sharepoint/v3/contenttype/forms"/>
  </ds:schemaRefs>
</ds:datastoreItem>
</file>

<file path=customXml/itemProps3.xml><?xml version="1.0" encoding="utf-8"?>
<ds:datastoreItem xmlns:ds="http://schemas.openxmlformats.org/officeDocument/2006/customXml" ds:itemID="{14770DD2-B987-49B9-9077-D333FBF51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0ce1-b2e7-4ccb-948d-a290ef611fa1"/>
    <ds:schemaRef ds:uri="909e21e3-a2e2-47ca-be0e-9c3a9bef9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Eva Martín</lastModifiedBy>
  <revision>4</revision>
  <dcterms:created xsi:type="dcterms:W3CDTF">2026-09-23T08:34:00.0000000Z</dcterms:created>
  <dcterms:modified xsi:type="dcterms:W3CDTF">2026-09-23T09:11:34.6283150Z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0x0101009152DE15686E4843A3780C010A78B13A</vt:lpwstr>
  </property>
  <property fmtid="{D5CDD505-2E9C-101B-9397-08002B2CF9AE}" pid="3" name="MediaServiceImageTags">
    <vt:lpwstr>MediaServiceImageTags</vt:lpwstr>
  </property>
</Properties>
</file>