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E2350" w:rsidRDefault="005925FE">
      <w:pPr>
        <w:spacing w:line="276" w:lineRule="auto"/>
        <w:jc w:val="center"/>
        <w:rPr>
          <w:rFonts w:ascii="Roboto" w:eastAsia="Roboto" w:hAnsi="Roboto" w:cs="Roboto"/>
          <w:sz w:val="22"/>
          <w:szCs w:val="22"/>
        </w:rPr>
      </w:pPr>
      <w:r>
        <w:rPr>
          <w:rFonts w:ascii="Roboto" w:eastAsia="Roboto" w:hAnsi="Roboto" w:cs="Roboto"/>
          <w:b/>
          <w:bCs/>
          <w:sz w:val="40"/>
          <w:szCs w:val="40"/>
        </w:rPr>
        <w:t>NOTA DE PRENSA</w:t>
      </w:r>
      <w:r>
        <w:rPr>
          <w:rFonts w:ascii="Roboto" w:eastAsia="Roboto" w:hAnsi="Roboto" w:cs="Roboto"/>
          <w:sz w:val="22"/>
          <w:szCs w:val="22"/>
        </w:rPr>
        <w:t xml:space="preserve"> </w:t>
      </w:r>
    </w:p>
    <w:p w14:paraId="00000002" w14:textId="77777777" w:rsidR="00CE2350" w:rsidRDefault="00CE2350">
      <w:pPr>
        <w:jc w:val="center"/>
        <w:rPr>
          <w:rFonts w:ascii="Roboto" w:eastAsia="Roboto" w:hAnsi="Roboto" w:cs="Roboto"/>
          <w:b/>
          <w:bCs/>
          <w:sz w:val="32"/>
          <w:szCs w:val="32"/>
        </w:rPr>
      </w:pPr>
    </w:p>
    <w:p w14:paraId="00000003" w14:textId="77777777" w:rsidR="00CE2350" w:rsidRDefault="005925FE">
      <w:pPr>
        <w:spacing w:line="276" w:lineRule="auto"/>
        <w:jc w:val="center"/>
        <w:rPr>
          <w:rFonts w:ascii="Arial" w:eastAsia="Arial" w:hAnsi="Arial" w:cs="Arial"/>
          <w:b/>
          <w:bCs/>
          <w:sz w:val="32"/>
          <w:szCs w:val="32"/>
        </w:rPr>
      </w:pPr>
      <w:r>
        <w:rPr>
          <w:rFonts w:ascii="Arial" w:eastAsia="Arial" w:hAnsi="Arial" w:cs="Arial"/>
          <w:b/>
          <w:bCs/>
          <w:sz w:val="32"/>
          <w:szCs w:val="32"/>
        </w:rPr>
        <w:t>La OCDE destaca el valor de la Infraestructura de la Calidad para la simplificación reglamentaria</w:t>
      </w:r>
    </w:p>
    <w:p w14:paraId="00000004" w14:textId="77777777" w:rsidR="00CE2350" w:rsidRDefault="00CE2350">
      <w:pPr>
        <w:rPr>
          <w:rFonts w:ascii="Roboto" w:eastAsia="Roboto" w:hAnsi="Roboto" w:cs="Roboto"/>
          <w:sz w:val="32"/>
          <w:szCs w:val="32"/>
        </w:rPr>
      </w:pPr>
    </w:p>
    <w:p w14:paraId="00000005" w14:textId="6BBA2AB0" w:rsidR="00CE2350" w:rsidRDefault="005925FE">
      <w:pPr>
        <w:numPr>
          <w:ilvl w:val="0"/>
          <w:numId w:val="2"/>
        </w:numPr>
        <w:jc w:val="both"/>
        <w:rPr>
          <w:rFonts w:ascii="Roboto" w:eastAsia="Roboto" w:hAnsi="Roboto" w:cs="Roboto"/>
          <w:b/>
          <w:bCs/>
          <w:sz w:val="20"/>
          <w:szCs w:val="20"/>
        </w:rPr>
      </w:pPr>
      <w:r w:rsidRPr="74ECF8D4">
        <w:rPr>
          <w:rFonts w:ascii="Roboto" w:eastAsia="Roboto" w:hAnsi="Roboto" w:cs="Roboto"/>
          <w:b/>
          <w:bCs/>
          <w:sz w:val="20"/>
          <w:szCs w:val="20"/>
        </w:rPr>
        <w:t xml:space="preserve">En el caso de la acreditación, el organismo internacional destaca </w:t>
      </w:r>
      <w:r w:rsidR="00341DAF" w:rsidRPr="74ECF8D4">
        <w:rPr>
          <w:rFonts w:ascii="Roboto" w:eastAsia="Roboto" w:hAnsi="Roboto" w:cs="Roboto"/>
          <w:b/>
          <w:bCs/>
          <w:sz w:val="20"/>
          <w:szCs w:val="20"/>
        </w:rPr>
        <w:t xml:space="preserve">su valor para aportar confianza en </w:t>
      </w:r>
      <w:r w:rsidR="5FDF18F2" w:rsidRPr="74ECF8D4">
        <w:rPr>
          <w:rFonts w:ascii="Roboto" w:eastAsia="Roboto" w:hAnsi="Roboto" w:cs="Roboto"/>
          <w:b/>
          <w:bCs/>
          <w:sz w:val="20"/>
          <w:szCs w:val="20"/>
        </w:rPr>
        <w:t>que “</w:t>
      </w:r>
      <w:r w:rsidRPr="74ECF8D4">
        <w:rPr>
          <w:rFonts w:ascii="Roboto" w:eastAsia="Roboto" w:hAnsi="Roboto" w:cs="Roboto"/>
          <w:b/>
          <w:bCs/>
          <w:sz w:val="20"/>
          <w:szCs w:val="20"/>
        </w:rPr>
        <w:t xml:space="preserve">los organismos de evaluación de la conformidad son competentes e imparciales para realizar controles sobre productos y servicios, lo que puede reducir la carga de supervisión directa sobre las autoridades gubernamentales” </w:t>
      </w:r>
    </w:p>
    <w:p w14:paraId="00000006" w14:textId="77777777" w:rsidR="00CE2350" w:rsidRDefault="005925FE">
      <w:pPr>
        <w:jc w:val="both"/>
        <w:rPr>
          <w:rFonts w:ascii="Roboto" w:eastAsia="Roboto" w:hAnsi="Roboto" w:cs="Roboto"/>
          <w:sz w:val="22"/>
          <w:szCs w:val="22"/>
        </w:rPr>
      </w:pPr>
      <w:r>
        <w:rPr>
          <w:rFonts w:ascii="Roboto" w:eastAsia="Roboto" w:hAnsi="Roboto" w:cs="Roboto"/>
          <w:sz w:val="22"/>
          <w:szCs w:val="22"/>
        </w:rPr>
        <w:t xml:space="preserve"> </w:t>
      </w:r>
    </w:p>
    <w:p w14:paraId="00000007" w14:textId="77777777" w:rsidR="00CE2350" w:rsidRDefault="005925FE">
      <w:pPr>
        <w:jc w:val="both"/>
        <w:rPr>
          <w:rFonts w:ascii="Arial" w:eastAsia="Arial" w:hAnsi="Arial" w:cs="Arial"/>
          <w:sz w:val="22"/>
          <w:szCs w:val="22"/>
        </w:rPr>
      </w:pPr>
      <w:r>
        <w:rPr>
          <w:rFonts w:ascii="Roboto" w:eastAsia="Roboto" w:hAnsi="Roboto" w:cs="Roboto"/>
          <w:sz w:val="22"/>
          <w:szCs w:val="22"/>
        </w:rPr>
        <w:t xml:space="preserve">Madrid, 11 de marzo de 2026.- </w:t>
      </w:r>
      <w:r>
        <w:rPr>
          <w:rFonts w:ascii="Arial" w:eastAsia="Arial" w:hAnsi="Arial" w:cs="Arial"/>
          <w:sz w:val="22"/>
          <w:szCs w:val="22"/>
        </w:rPr>
        <w:t xml:space="preserve">La </w:t>
      </w:r>
      <w:r>
        <w:rPr>
          <w:rFonts w:ascii="Arial" w:eastAsia="Arial" w:hAnsi="Arial" w:cs="Arial"/>
          <w:b/>
          <w:bCs/>
          <w:sz w:val="22"/>
          <w:szCs w:val="22"/>
        </w:rPr>
        <w:t xml:space="preserve">Organización para la Cooperación y el Desarrollo Económicos </w:t>
      </w:r>
      <w:r>
        <w:rPr>
          <w:rFonts w:ascii="Arial" w:eastAsia="Arial" w:hAnsi="Arial" w:cs="Arial"/>
          <w:sz w:val="22"/>
          <w:szCs w:val="22"/>
        </w:rPr>
        <w:t xml:space="preserve">(OCDE) ha publicado el informe </w:t>
      </w:r>
      <w:hyperlink r:id="rId11">
        <w:r>
          <w:rPr>
            <w:rFonts w:ascii="Arial" w:eastAsia="Arial" w:hAnsi="Arial" w:cs="Arial"/>
            <w:color w:val="1155CC"/>
            <w:sz w:val="22"/>
            <w:szCs w:val="22"/>
            <w:u w:val="single"/>
          </w:rPr>
          <w:t>“Reforzar los marcos regulatorios a través de normas, medidas y aseguramiento de la calidad: sacar mayor provecho de la infraestructura de calidad en las políticas públicas”</w:t>
        </w:r>
      </w:hyperlink>
      <w:r>
        <w:rPr>
          <w:rFonts w:ascii="Arial" w:eastAsia="Arial" w:hAnsi="Arial" w:cs="Arial"/>
          <w:sz w:val="22"/>
          <w:szCs w:val="22"/>
        </w:rPr>
        <w:t xml:space="preserve">, en el que </w:t>
      </w:r>
      <w:r>
        <w:rPr>
          <w:rFonts w:ascii="Arial" w:eastAsia="Arial" w:hAnsi="Arial" w:cs="Arial"/>
          <w:b/>
          <w:bCs/>
          <w:sz w:val="22"/>
          <w:szCs w:val="22"/>
        </w:rPr>
        <w:t>resalta que la alineación estratégica entre los marcos regulatorios y la Infraestructura de la Calidad (IC) es fundamental para impulsar el desarrollo económico, fomentar la confianza pública</w:t>
      </w:r>
      <w:r>
        <w:rPr>
          <w:rFonts w:ascii="Arial" w:eastAsia="Arial" w:hAnsi="Arial" w:cs="Arial"/>
          <w:sz w:val="22"/>
          <w:szCs w:val="22"/>
        </w:rPr>
        <w:t xml:space="preserve"> y enfrentar los retos globales actuales y de futuro.</w:t>
      </w:r>
    </w:p>
    <w:p w14:paraId="00000008" w14:textId="77777777" w:rsidR="00CE2350" w:rsidRDefault="00CE2350">
      <w:pPr>
        <w:spacing w:line="276" w:lineRule="auto"/>
        <w:jc w:val="both"/>
        <w:rPr>
          <w:rFonts w:ascii="Arial" w:eastAsia="Arial" w:hAnsi="Arial" w:cs="Arial"/>
          <w:sz w:val="22"/>
          <w:szCs w:val="22"/>
        </w:rPr>
      </w:pPr>
    </w:p>
    <w:p w14:paraId="00000009" w14:textId="77777777" w:rsidR="00CE2350" w:rsidRDefault="005925FE">
      <w:pPr>
        <w:spacing w:line="276" w:lineRule="auto"/>
        <w:jc w:val="both"/>
        <w:rPr>
          <w:rFonts w:ascii="Arial" w:eastAsia="Arial" w:hAnsi="Arial" w:cs="Arial"/>
          <w:sz w:val="22"/>
          <w:szCs w:val="22"/>
        </w:rPr>
      </w:pPr>
      <w:r w:rsidRPr="74ECF8D4">
        <w:rPr>
          <w:rFonts w:ascii="Arial" w:eastAsia="Arial" w:hAnsi="Arial" w:cs="Arial"/>
          <w:sz w:val="22"/>
          <w:szCs w:val="22"/>
        </w:rPr>
        <w:t>El documento parte de la premisa de que los gobiernos son responsables de asegurar la seguridad de productos y servicios ante riesgos relacionados con aspectos críticos como la salud, el medio ambiente y la seguridad, pero, para ello, dependen de un extenso conjunto de instituciones interconectadas entre las que destacan aquellas que componen la Infraestructura de la Calidad. La IC, definida en este informe como el sistema de estándares y aseguramiento de la calidad, comprende la metrología, la normalización, la acreditación</w:t>
      </w:r>
      <w:sdt>
        <w:sdtPr>
          <w:tag w:val="goog_rdk_0"/>
          <w:id w:val="547573610"/>
        </w:sdtPr>
        <w:sdtContent>
          <w:r w:rsidRPr="74ECF8D4">
            <w:rPr>
              <w:rFonts w:ascii="Arial" w:eastAsia="Arial" w:hAnsi="Arial" w:cs="Arial"/>
              <w:sz w:val="22"/>
              <w:szCs w:val="22"/>
            </w:rPr>
            <w:t xml:space="preserve"> (actividad desarrollada en España por ENAC, la </w:t>
          </w:r>
          <w:hyperlink r:id="rId12">
            <w:r w:rsidRPr="74ECF8D4">
              <w:rPr>
                <w:rFonts w:ascii="Arial" w:eastAsia="Arial" w:hAnsi="Arial" w:cs="Arial"/>
                <w:color w:val="1155CC"/>
                <w:sz w:val="22"/>
                <w:szCs w:val="22"/>
                <w:u w:val="single"/>
              </w:rPr>
              <w:t>Entidad Nacional de la Acreditación</w:t>
            </w:r>
          </w:hyperlink>
          <w:r w:rsidRPr="74ECF8D4">
            <w:rPr>
              <w:rFonts w:ascii="Arial" w:eastAsia="Arial" w:hAnsi="Arial" w:cs="Arial"/>
              <w:sz w:val="22"/>
              <w:szCs w:val="22"/>
            </w:rPr>
            <w:t>)</w:t>
          </w:r>
        </w:sdtContent>
      </w:sdt>
      <w:r w:rsidRPr="74ECF8D4">
        <w:rPr>
          <w:rFonts w:ascii="Arial" w:eastAsia="Arial" w:hAnsi="Arial" w:cs="Arial"/>
          <w:sz w:val="22"/>
          <w:szCs w:val="22"/>
        </w:rPr>
        <w:t xml:space="preserve">, la evaluación de la conformidad y la vigilancia del mercado. </w:t>
      </w:r>
      <w:r w:rsidRPr="74ECF8D4">
        <w:rPr>
          <w:rFonts w:ascii="Arial" w:eastAsia="Arial" w:hAnsi="Arial" w:cs="Arial"/>
          <w:b/>
          <w:bCs/>
          <w:sz w:val="22"/>
          <w:szCs w:val="22"/>
        </w:rPr>
        <w:t>Este sistema proporciona el soporte técnico crucial para que las regulaciones (las cuales establecen el marco de operación) sean prácticas, aplicables y medibles</w:t>
      </w:r>
      <w:r w:rsidRPr="74ECF8D4">
        <w:rPr>
          <w:rFonts w:ascii="Arial" w:eastAsia="Arial" w:hAnsi="Arial" w:cs="Arial"/>
          <w:sz w:val="22"/>
          <w:szCs w:val="22"/>
        </w:rPr>
        <w:t>. Una coordinación óptima entre la regulación y la infraestructura de la calidad mejora el comercio, facilita el acceso a mercados, impulsa la innovación y fomenta la confianza de todas las partes interesadas en el uso de productos y servicios.</w:t>
      </w:r>
    </w:p>
    <w:p w14:paraId="0000000A" w14:textId="77777777" w:rsidR="00CE2350" w:rsidRDefault="00CE2350">
      <w:pPr>
        <w:spacing w:line="276" w:lineRule="auto"/>
        <w:jc w:val="both"/>
        <w:rPr>
          <w:rFonts w:ascii="Arial" w:eastAsia="Arial" w:hAnsi="Arial" w:cs="Arial"/>
          <w:sz w:val="22"/>
          <w:szCs w:val="22"/>
        </w:rPr>
      </w:pPr>
    </w:p>
    <w:p w14:paraId="0000000B" w14:textId="77777777" w:rsidR="00CE2350" w:rsidRDefault="005925FE">
      <w:pPr>
        <w:spacing w:line="276" w:lineRule="auto"/>
        <w:jc w:val="both"/>
        <w:rPr>
          <w:rFonts w:ascii="Arial" w:eastAsia="Arial" w:hAnsi="Arial" w:cs="Arial"/>
          <w:b/>
          <w:bCs/>
          <w:sz w:val="22"/>
          <w:szCs w:val="22"/>
        </w:rPr>
      </w:pPr>
      <w:r>
        <w:rPr>
          <w:rFonts w:ascii="Arial" w:eastAsia="Arial" w:hAnsi="Arial" w:cs="Arial"/>
          <w:b/>
          <w:bCs/>
          <w:sz w:val="22"/>
          <w:szCs w:val="22"/>
        </w:rPr>
        <w:t>Integración para una regulación ágil</w:t>
      </w:r>
    </w:p>
    <w:p w14:paraId="0000000C" w14:textId="77777777" w:rsidR="00CE2350" w:rsidRDefault="00CE2350">
      <w:pPr>
        <w:spacing w:line="276" w:lineRule="auto"/>
        <w:jc w:val="both"/>
        <w:rPr>
          <w:rFonts w:ascii="Arial" w:eastAsia="Arial" w:hAnsi="Arial" w:cs="Arial"/>
          <w:b/>
          <w:bCs/>
          <w:sz w:val="22"/>
          <w:szCs w:val="22"/>
        </w:rPr>
      </w:pPr>
    </w:p>
    <w:p w14:paraId="0000000D" w14:textId="74D4D052" w:rsidR="00CE2350" w:rsidRDefault="005925FE">
      <w:pPr>
        <w:spacing w:line="276" w:lineRule="auto"/>
        <w:jc w:val="both"/>
        <w:rPr>
          <w:rFonts w:ascii="Arial" w:eastAsia="Arial" w:hAnsi="Arial" w:cs="Arial"/>
          <w:sz w:val="22"/>
          <w:szCs w:val="22"/>
        </w:rPr>
      </w:pPr>
      <w:r w:rsidRPr="74ECF8D4">
        <w:rPr>
          <w:rFonts w:ascii="Arial" w:eastAsia="Arial" w:hAnsi="Arial" w:cs="Arial"/>
          <w:sz w:val="22"/>
          <w:szCs w:val="22"/>
        </w:rPr>
        <w:t xml:space="preserve">El informe enfatiza que, al incorporar la IC en los sistemas regulatorios, los gobiernos pueden construir entornos más adaptativos, eficientes y favorables a la innovación. Aunque las normas técnicas son generalmente voluntarias, pueden resultar de obligado cumplimiento a través de su inclusión en la legislación. No obstante, su uso voluntario </w:t>
      </w:r>
      <w:r w:rsidRPr="74ECF8D4">
        <w:rPr>
          <w:rFonts w:ascii="Arial" w:eastAsia="Arial" w:hAnsi="Arial" w:cs="Arial"/>
          <w:b/>
          <w:bCs/>
          <w:sz w:val="22"/>
          <w:szCs w:val="22"/>
        </w:rPr>
        <w:t>permite a los gobiernos establecer objetivos de políticas públicas de alto nivel (como la protección ambiental) y permitir que la industria demuestre el cumplimiento a través de normas internacionales y actividades de evaluación y control,</w:t>
      </w:r>
      <w:r w:rsidRPr="74ECF8D4">
        <w:rPr>
          <w:rFonts w:ascii="Arial" w:eastAsia="Arial" w:hAnsi="Arial" w:cs="Arial"/>
          <w:sz w:val="22"/>
          <w:szCs w:val="22"/>
        </w:rPr>
        <w:t xml:space="preserve"> impulsando así soluciones lideradas por el sector privado.</w:t>
      </w:r>
    </w:p>
    <w:p w14:paraId="0000000E" w14:textId="77777777" w:rsidR="00CE2350" w:rsidRDefault="00CE2350">
      <w:pPr>
        <w:spacing w:line="276" w:lineRule="auto"/>
        <w:jc w:val="both"/>
        <w:rPr>
          <w:rFonts w:ascii="Arial" w:eastAsia="Arial" w:hAnsi="Arial" w:cs="Arial"/>
          <w:sz w:val="22"/>
          <w:szCs w:val="22"/>
        </w:rPr>
      </w:pPr>
    </w:p>
    <w:p w14:paraId="00000011" w14:textId="77777777" w:rsidR="00CE2350" w:rsidRDefault="005925FE" w:rsidP="74ECF8D4">
      <w:pPr>
        <w:spacing w:line="276" w:lineRule="auto"/>
        <w:jc w:val="both"/>
        <w:rPr>
          <w:rFonts w:ascii="Arial" w:eastAsia="Arial" w:hAnsi="Arial" w:cs="Arial"/>
          <w:i/>
          <w:iCs/>
          <w:sz w:val="22"/>
          <w:szCs w:val="22"/>
          <w:lang w:val="es-ES"/>
        </w:rPr>
      </w:pPr>
      <w:r w:rsidRPr="74ECF8D4">
        <w:rPr>
          <w:rFonts w:ascii="Arial" w:eastAsia="Arial" w:hAnsi="Arial" w:cs="Arial"/>
          <w:sz w:val="22"/>
          <w:szCs w:val="22"/>
          <w:lang w:val="es-ES"/>
        </w:rPr>
        <w:t xml:space="preserve">En particular, </w:t>
      </w:r>
      <w:r w:rsidRPr="74ECF8D4">
        <w:rPr>
          <w:rFonts w:ascii="Arial" w:eastAsia="Arial" w:hAnsi="Arial" w:cs="Arial"/>
          <w:b/>
          <w:bCs/>
          <w:sz w:val="22"/>
          <w:szCs w:val="22"/>
          <w:lang w:val="es-ES"/>
        </w:rPr>
        <w:t>en el caso de la acreditación, ésta garantiza que los organismos de evaluación de la conformidad son competentes e imparciales para realizar controles sobre productos y servicios, lo que puede reducir la carga de supervisión directa</w:t>
      </w:r>
      <w:r w:rsidRPr="74ECF8D4">
        <w:rPr>
          <w:rFonts w:ascii="Arial" w:eastAsia="Arial" w:hAnsi="Arial" w:cs="Arial"/>
          <w:sz w:val="22"/>
          <w:szCs w:val="22"/>
          <w:lang w:val="es-ES"/>
        </w:rPr>
        <w:t xml:space="preserve"> sobre las autoridades gubernamentales: </w:t>
      </w:r>
      <w:r w:rsidRPr="74ECF8D4">
        <w:rPr>
          <w:rFonts w:ascii="Arial" w:eastAsia="Arial" w:hAnsi="Arial" w:cs="Arial"/>
          <w:i/>
          <w:iCs/>
          <w:sz w:val="22"/>
          <w:szCs w:val="22"/>
          <w:lang w:val="es-ES"/>
        </w:rPr>
        <w:t xml:space="preserve">“Los reguladores pueden reconocer el cumplimiento demostrado a través de la evaluación de conformidad acreditada, lo que puede reducir la carga sobre los reguladores y los gobiernos al utilizar servicios de infraestructura de calidad como la evaluación de conformidad acreditada para otorgar a las empresas un reconocimiento”, recalca el informe. </w:t>
      </w:r>
    </w:p>
    <w:p w14:paraId="00000012" w14:textId="77777777" w:rsidR="00CE2350" w:rsidRDefault="00CE2350">
      <w:pPr>
        <w:spacing w:line="276" w:lineRule="auto"/>
        <w:jc w:val="both"/>
        <w:rPr>
          <w:rFonts w:ascii="Arial" w:eastAsia="Arial" w:hAnsi="Arial" w:cs="Arial"/>
          <w:i/>
          <w:iCs/>
          <w:sz w:val="22"/>
          <w:szCs w:val="22"/>
        </w:rPr>
      </w:pPr>
    </w:p>
    <w:p w14:paraId="0A6A9D80" w14:textId="58951ADC" w:rsidR="452E3F1E" w:rsidRDefault="452E3F1E" w:rsidP="74ECF8D4">
      <w:pPr>
        <w:jc w:val="both"/>
      </w:pPr>
      <w:r w:rsidRPr="74ECF8D4">
        <w:rPr>
          <w:rFonts w:ascii="Arial" w:eastAsia="Arial" w:hAnsi="Arial" w:cs="Arial"/>
          <w:b/>
          <w:bCs/>
          <w:color w:val="000000" w:themeColor="text1"/>
          <w:sz w:val="22"/>
          <w:szCs w:val="22"/>
        </w:rPr>
        <w:t>La IC como palanca para los desafíos globales</w:t>
      </w:r>
    </w:p>
    <w:p w14:paraId="0000001C" w14:textId="77777777" w:rsidR="00CE2350" w:rsidRDefault="00CE2350">
      <w:pPr>
        <w:spacing w:line="276" w:lineRule="auto"/>
        <w:jc w:val="both"/>
        <w:rPr>
          <w:rFonts w:ascii="Arial" w:eastAsia="Arial" w:hAnsi="Arial" w:cs="Arial"/>
          <w:sz w:val="22"/>
          <w:szCs w:val="22"/>
        </w:rPr>
      </w:pPr>
    </w:p>
    <w:p w14:paraId="0000001D" w14:textId="77777777" w:rsidR="00CE2350" w:rsidRDefault="005925FE">
      <w:pPr>
        <w:spacing w:line="276" w:lineRule="auto"/>
        <w:jc w:val="both"/>
        <w:rPr>
          <w:rFonts w:ascii="Arial" w:eastAsia="Arial" w:hAnsi="Arial" w:cs="Arial"/>
          <w:sz w:val="22"/>
          <w:szCs w:val="22"/>
        </w:rPr>
      </w:pPr>
      <w:r>
        <w:rPr>
          <w:rFonts w:ascii="Arial" w:eastAsia="Arial" w:hAnsi="Arial" w:cs="Arial"/>
          <w:sz w:val="22"/>
          <w:szCs w:val="22"/>
        </w:rPr>
        <w:t>Los desafíos globales, como la transición verde y el desarrollo acelerado de la Inteligencia Artificial (IA), exigen soluciones rápidas y alineadas internacionalmente. La IC es una herramienta estratégica en este contexto, ya que sus mecanismos de cooperación internacional facilitan la coherencia regulatoria y la interoperabilidad a través de las fronteras.</w:t>
      </w:r>
    </w:p>
    <w:p w14:paraId="0000001E" w14:textId="77777777" w:rsidR="00CE2350" w:rsidRDefault="00CE2350">
      <w:pPr>
        <w:spacing w:line="276" w:lineRule="auto"/>
        <w:jc w:val="both"/>
        <w:rPr>
          <w:rFonts w:ascii="Arial" w:eastAsia="Arial" w:hAnsi="Arial" w:cs="Arial"/>
          <w:sz w:val="22"/>
          <w:szCs w:val="22"/>
        </w:rPr>
      </w:pPr>
    </w:p>
    <w:p w14:paraId="0000001F" w14:textId="77777777" w:rsidR="00CE2350" w:rsidRDefault="005925FE">
      <w:pPr>
        <w:spacing w:line="276" w:lineRule="auto"/>
        <w:jc w:val="both"/>
        <w:rPr>
          <w:rFonts w:ascii="Arial" w:eastAsia="Arial" w:hAnsi="Arial" w:cs="Arial"/>
          <w:sz w:val="22"/>
          <w:szCs w:val="22"/>
        </w:rPr>
      </w:pPr>
      <w:r>
        <w:rPr>
          <w:rFonts w:ascii="Arial" w:eastAsia="Arial" w:hAnsi="Arial" w:cs="Arial"/>
          <w:sz w:val="22"/>
          <w:szCs w:val="22"/>
        </w:rPr>
        <w:t>Los foros multilaterales de IC (tales como las organizaciones internacionales de acreditación, normalización y metrología) permiten a los países desarrollar normas basadas en consenso que pueden ser utilizadas para la gobernanza global, reduciendo la fragmentación de enfoques regulatorios, por ejemplo, en la seguridad de la IA o en las metodologías de contabilidad de carbono. La IC facilita el reconocimiento mutuo de las evaluaciones de conformidad entre países, lo que reduce la necesidad de pruebas y certificaciones duplicadas, minimizando los costes comerciales:</w:t>
      </w:r>
    </w:p>
    <w:p w14:paraId="00000020" w14:textId="77777777" w:rsidR="00CE2350" w:rsidRDefault="00CE2350">
      <w:pPr>
        <w:spacing w:line="276" w:lineRule="auto"/>
        <w:jc w:val="both"/>
        <w:rPr>
          <w:rFonts w:ascii="Arial" w:eastAsia="Arial" w:hAnsi="Arial" w:cs="Arial"/>
          <w:sz w:val="22"/>
          <w:szCs w:val="22"/>
        </w:rPr>
      </w:pPr>
    </w:p>
    <w:p w14:paraId="00000021" w14:textId="77777777" w:rsidR="00CE2350" w:rsidRDefault="005925FE">
      <w:pPr>
        <w:spacing w:line="276" w:lineRule="auto"/>
        <w:jc w:val="both"/>
        <w:rPr>
          <w:rFonts w:ascii="Arial" w:eastAsia="Arial" w:hAnsi="Arial" w:cs="Arial"/>
          <w:sz w:val="22"/>
          <w:szCs w:val="22"/>
        </w:rPr>
      </w:pPr>
      <w:r>
        <w:rPr>
          <w:rFonts w:ascii="Arial" w:eastAsia="Arial" w:hAnsi="Arial" w:cs="Arial"/>
          <w:sz w:val="22"/>
          <w:szCs w:val="22"/>
        </w:rPr>
        <w:t>“Dado que las regulaciones suelen operar dentro de fronteras nacionales, la cooperación internacional a través de sistemas de infraestructura de calidad bien integrados es esencial para mejorar la coherencia regulatoria y la interoperabilidad entre países”.</w:t>
      </w:r>
    </w:p>
    <w:p w14:paraId="00000022" w14:textId="77777777" w:rsidR="00CE2350" w:rsidRDefault="00CE2350">
      <w:pPr>
        <w:spacing w:line="276" w:lineRule="auto"/>
        <w:jc w:val="both"/>
        <w:rPr>
          <w:rFonts w:ascii="Arial" w:eastAsia="Arial" w:hAnsi="Arial" w:cs="Arial"/>
          <w:sz w:val="22"/>
          <w:szCs w:val="22"/>
        </w:rPr>
      </w:pPr>
    </w:p>
    <w:sdt>
      <w:sdtPr>
        <w:tag w:val="goog_rdk_20"/>
        <w:id w:val="1064886157"/>
      </w:sdtPr>
      <w:sdtContent>
        <w:p w14:paraId="00000024" w14:textId="3A4DAD65" w:rsidR="00CE2350" w:rsidRDefault="0027543E" w:rsidP="74ECF8D4">
          <w:pPr>
            <w:spacing w:after="160" w:line="276" w:lineRule="auto"/>
            <w:jc w:val="both"/>
            <w:rPr>
              <w:rFonts w:ascii="Arial" w:eastAsia="Arial" w:hAnsi="Arial" w:cs="Arial"/>
              <w:sz w:val="22"/>
              <w:szCs w:val="22"/>
            </w:rPr>
          </w:pPr>
          <w:sdt>
            <w:sdtPr>
              <w:tag w:val="goog_rdk_19"/>
              <w:id w:val="-1803855708"/>
              <w:showingPlcHdr/>
            </w:sdtPr>
            <w:sdtContent>
              <w:r w:rsidR="0C4F5C67" w:rsidRPr="74ECF8D4">
                <w:rPr>
                  <w:rStyle w:val="PlaceholderText"/>
                </w:rPr>
                <w:t xml:space="preserve">     </w:t>
              </w:r>
            </w:sdtContent>
          </w:sdt>
        </w:p>
      </w:sdtContent>
    </w:sdt>
    <w:p w14:paraId="00000025" w14:textId="77777777" w:rsidR="00CE2350" w:rsidRDefault="005925F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jc w:val="both"/>
        <w:rPr>
          <w:rFonts w:ascii="Roboto" w:eastAsia="Roboto" w:hAnsi="Roboto" w:cs="Roboto"/>
          <w:color w:val="E83544"/>
          <w:sz w:val="22"/>
          <w:szCs w:val="22"/>
        </w:rPr>
      </w:pPr>
      <w:r>
        <w:rPr>
          <w:rFonts w:ascii="Roboto" w:eastAsia="Roboto" w:hAnsi="Roboto" w:cs="Roboto"/>
          <w:b/>
          <w:bCs/>
          <w:color w:val="E83544"/>
          <w:sz w:val="22"/>
          <w:szCs w:val="22"/>
        </w:rPr>
        <w:t>Sobre ENAC</w:t>
      </w:r>
      <w:r>
        <w:rPr>
          <w:rFonts w:ascii="Roboto" w:eastAsia="Roboto" w:hAnsi="Roboto" w:cs="Roboto"/>
          <w:color w:val="E83544"/>
          <w:sz w:val="22"/>
          <w:szCs w:val="22"/>
        </w:rPr>
        <w:t xml:space="preserve"> </w:t>
      </w:r>
    </w:p>
    <w:p w14:paraId="00000026" w14:textId="77777777" w:rsidR="00CE2350" w:rsidRDefault="005925FE">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r>
        <w:rPr>
          <w:rFonts w:ascii="Roboto" w:eastAsia="Roboto" w:hAnsi="Roboto" w:cs="Roboto"/>
          <w:sz w:val="22"/>
          <w:szCs w:val="22"/>
        </w:rPr>
        <w:t xml:space="preserve">La Entidad Nacional de Acreditación – ENAC – es la entidad designada por el Gobierno para operar en España como el único Organismo Nacional de Acreditación, en aplicación del Reglamento (CE) nº765/2008 del Parlamento Europeo que regula el funcionamiento de la acreditación en Europa. </w:t>
      </w:r>
    </w:p>
    <w:p w14:paraId="00000027" w14:textId="77777777" w:rsidR="00CE2350" w:rsidRDefault="00CE235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p>
    <w:p w14:paraId="00000028" w14:textId="77777777" w:rsidR="00CE2350" w:rsidRDefault="005925FE">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r>
        <w:rPr>
          <w:rFonts w:ascii="Roboto" w:eastAsia="Roboto" w:hAnsi="Roboto" w:cs="Roboto"/>
          <w:sz w:val="22"/>
          <w:szCs w:val="22"/>
        </w:rPr>
        <w:t xml:space="preserve">ENAC tiene como misión generar confianza en el mercado y en la sociedad evaluando, a través de un sistema conforme a normas internacionales, la competencia técnica de laboratorios de ensayo o calibración, entidades de inspección, entidades de certificación y verificadores medioambientales que desarrollen su actividad en cualquier sector: industria,  energía, medio ambiente, sanidad, alimentación, investigación, desarrollo e innovación, transportes, telecomunicaciones, turismo, servicios, construcción, etc. Contribuye, así, a la seguridad y el bienestar de las personas, la calidad de los productos y servicios, la protección del medioambiente y, con ello, al aumento de la competitividad de los productos y servicios españoles y a una disminución de los costes para la sociedad debidos a estas actividades.  </w:t>
      </w:r>
    </w:p>
    <w:p w14:paraId="00000029" w14:textId="77777777" w:rsidR="00CE2350" w:rsidRDefault="00CE235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p>
    <w:p w14:paraId="0000002A" w14:textId="77777777" w:rsidR="00CE2350" w:rsidRDefault="005925FE">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r>
        <w:rPr>
          <w:rFonts w:ascii="Roboto" w:eastAsia="Roboto" w:hAnsi="Roboto" w:cs="Roboto"/>
          <w:sz w:val="22"/>
          <w:szCs w:val="22"/>
        </w:rPr>
        <w:t xml:space="preserve">La marca ENAC es la manera de distinguir si un certificado o informe está acreditado o no. Aporta confianza en que la organización que lo emite es técnicamente competente para llevar a cabo la tarea que realiza, y lo es tanto en España como en los 120 países en los que la marca de ENAC es reconocida y aceptada gracias a los acuerdos de reconocimiento que ENAC ha suscrito con las entidades de acreditación de esos países. </w:t>
      </w:r>
    </w:p>
    <w:p w14:paraId="0000002B" w14:textId="77777777" w:rsidR="00CE2350" w:rsidRDefault="00CE2350">
      <w:pPr>
        <w:jc w:val="both"/>
        <w:rPr>
          <w:rFonts w:ascii="Roboto" w:eastAsia="Roboto" w:hAnsi="Roboto" w:cs="Roboto"/>
          <w:sz w:val="22"/>
          <w:szCs w:val="22"/>
        </w:rPr>
      </w:pPr>
    </w:p>
    <w:p w14:paraId="0000002C" w14:textId="77777777" w:rsidR="00CE2350" w:rsidRDefault="00CE2350">
      <w:pPr>
        <w:jc w:val="both"/>
        <w:rPr>
          <w:rFonts w:ascii="Roboto" w:eastAsia="Roboto" w:hAnsi="Roboto" w:cs="Roboto"/>
          <w:sz w:val="22"/>
          <w:szCs w:val="22"/>
        </w:rPr>
      </w:pPr>
    </w:p>
    <w:p w14:paraId="0000002D" w14:textId="77777777" w:rsidR="00CE2350" w:rsidRDefault="005925FE">
      <w:pPr>
        <w:pBdr>
          <w:bottom w:val="single" w:sz="12" w:space="1" w:color="000000"/>
        </w:pBdr>
        <w:jc w:val="both"/>
        <w:rPr>
          <w:rFonts w:ascii="Roboto" w:eastAsia="Roboto" w:hAnsi="Roboto" w:cs="Roboto"/>
          <w:color w:val="E83544"/>
          <w:sz w:val="22"/>
          <w:szCs w:val="22"/>
        </w:rPr>
      </w:pPr>
      <w:hyperlink r:id="rId13">
        <w:r>
          <w:rPr>
            <w:rFonts w:ascii="Roboto" w:eastAsia="Roboto" w:hAnsi="Roboto" w:cs="Roboto"/>
            <w:color w:val="E83544"/>
            <w:sz w:val="22"/>
            <w:szCs w:val="22"/>
            <w:u w:val="single"/>
          </w:rPr>
          <w:t>www.enac.es</w:t>
        </w:r>
      </w:hyperlink>
      <w:r>
        <w:rPr>
          <w:rFonts w:ascii="Roboto" w:eastAsia="Roboto" w:hAnsi="Roboto" w:cs="Roboto"/>
          <w:color w:val="E83544"/>
          <w:sz w:val="22"/>
          <w:szCs w:val="22"/>
        </w:rPr>
        <w:t xml:space="preserve"> </w:t>
      </w:r>
    </w:p>
    <w:p w14:paraId="0000002E" w14:textId="77777777" w:rsidR="00CE2350" w:rsidRDefault="00CE2350">
      <w:pPr>
        <w:pBdr>
          <w:bottom w:val="single" w:sz="12" w:space="1" w:color="000000"/>
        </w:pBdr>
        <w:jc w:val="both"/>
        <w:rPr>
          <w:rFonts w:ascii="Roboto" w:eastAsia="Roboto" w:hAnsi="Roboto" w:cs="Roboto"/>
          <w:color w:val="E83544"/>
          <w:sz w:val="22"/>
          <w:szCs w:val="22"/>
        </w:rPr>
      </w:pPr>
    </w:p>
    <w:p w14:paraId="0000002F" w14:textId="77777777" w:rsidR="00CE2350" w:rsidRDefault="005925FE">
      <w:pPr>
        <w:pBdr>
          <w:bottom w:val="single" w:sz="12" w:space="1" w:color="000000"/>
        </w:pBdr>
        <w:jc w:val="both"/>
        <w:rPr>
          <w:rFonts w:ascii="Roboto" w:eastAsia="Roboto" w:hAnsi="Roboto" w:cs="Roboto"/>
          <w:sz w:val="22"/>
          <w:szCs w:val="22"/>
        </w:rPr>
      </w:pPr>
      <w:r>
        <w:rPr>
          <w:rFonts w:ascii="Roboto" w:eastAsia="Roboto" w:hAnsi="Roboto" w:cs="Roboto"/>
          <w:color w:val="0000FF"/>
          <w:sz w:val="22"/>
          <w:szCs w:val="22"/>
        </w:rPr>
        <w:t xml:space="preserve">  </w:t>
      </w:r>
      <w:r>
        <w:rPr>
          <w:rFonts w:ascii="Roboto" w:eastAsia="Roboto" w:hAnsi="Roboto" w:cs="Roboto"/>
          <w:noProof/>
          <w:color w:val="0000FF"/>
          <w:sz w:val="22"/>
          <w:szCs w:val="22"/>
        </w:rPr>
        <w:drawing>
          <wp:inline distT="0" distB="0" distL="0" distR="0" wp14:anchorId="280ECE00" wp14:editId="5B019756">
            <wp:extent cx="304800" cy="304800"/>
            <wp:effectExtent l="0" t="0" r="0" b="0"/>
            <wp:docPr id="17099659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304800" cy="304800"/>
                    </a:xfrm>
                    <a:prstGeom prst="rect">
                      <a:avLst/>
                    </a:prstGeom>
                    <a:ln/>
                  </pic:spPr>
                </pic:pic>
              </a:graphicData>
            </a:graphic>
          </wp:inline>
        </w:drawing>
      </w:r>
    </w:p>
    <w:p w14:paraId="00000030" w14:textId="77777777" w:rsidR="00CE2350" w:rsidRDefault="00CE2350">
      <w:pPr>
        <w:pBdr>
          <w:bottom w:val="single" w:sz="12" w:space="1" w:color="000000"/>
        </w:pBdr>
        <w:jc w:val="both"/>
        <w:rPr>
          <w:rFonts w:ascii="Roboto" w:eastAsia="Roboto" w:hAnsi="Roboto" w:cs="Roboto"/>
          <w:color w:val="E83544"/>
          <w:sz w:val="22"/>
          <w:szCs w:val="22"/>
        </w:rPr>
      </w:pPr>
    </w:p>
    <w:p w14:paraId="00000031" w14:textId="77777777" w:rsidR="00CE2350" w:rsidRDefault="00CE2350">
      <w:pPr>
        <w:jc w:val="both"/>
        <w:rPr>
          <w:rFonts w:ascii="Roboto" w:eastAsia="Roboto" w:hAnsi="Roboto" w:cs="Roboto"/>
          <w:color w:val="E83544"/>
          <w:sz w:val="22"/>
          <w:szCs w:val="22"/>
        </w:rPr>
      </w:pPr>
    </w:p>
    <w:p w14:paraId="00000032" w14:textId="77777777" w:rsidR="00CE2350" w:rsidRDefault="005925FE">
      <w:pPr>
        <w:jc w:val="both"/>
        <w:rPr>
          <w:rFonts w:ascii="Roboto" w:eastAsia="Roboto" w:hAnsi="Roboto" w:cs="Roboto"/>
          <w:sz w:val="22"/>
          <w:szCs w:val="22"/>
        </w:rPr>
      </w:pPr>
      <w:r>
        <w:rPr>
          <w:rFonts w:ascii="Roboto" w:eastAsia="Roboto" w:hAnsi="Roboto" w:cs="Roboto"/>
          <w:sz w:val="22"/>
          <w:szCs w:val="22"/>
        </w:rPr>
        <w:t>Para más información sobre la nota de prensa, resolver dudas o gestionar entrevistas</w:t>
      </w:r>
    </w:p>
    <w:p w14:paraId="00000033" w14:textId="77777777" w:rsidR="00CE2350" w:rsidRDefault="005925FE">
      <w:pPr>
        <w:jc w:val="both"/>
        <w:rPr>
          <w:rFonts w:ascii="Roboto" w:eastAsia="Roboto" w:hAnsi="Roboto" w:cs="Roboto"/>
          <w:sz w:val="22"/>
          <w:szCs w:val="22"/>
        </w:rPr>
      </w:pPr>
      <w:r>
        <w:rPr>
          <w:rFonts w:ascii="Roboto" w:eastAsia="Roboto" w:hAnsi="Roboto" w:cs="Roboto"/>
          <w:sz w:val="22"/>
          <w:szCs w:val="22"/>
        </w:rPr>
        <w:t>Eva Martín</w:t>
      </w:r>
    </w:p>
    <w:p w14:paraId="00000034" w14:textId="77777777" w:rsidR="00CE2350" w:rsidRDefault="005925FE">
      <w:pPr>
        <w:jc w:val="both"/>
        <w:rPr>
          <w:rFonts w:ascii="Roboto" w:eastAsia="Roboto" w:hAnsi="Roboto" w:cs="Roboto"/>
          <w:sz w:val="22"/>
          <w:szCs w:val="22"/>
        </w:rPr>
      </w:pPr>
      <w:r>
        <w:rPr>
          <w:rFonts w:ascii="Roboto" w:eastAsia="Roboto" w:hAnsi="Roboto" w:cs="Roboto"/>
          <w:sz w:val="22"/>
          <w:szCs w:val="22"/>
        </w:rPr>
        <w:t xml:space="preserve">Tfno. 628 17 49 01 / </w:t>
      </w:r>
      <w:r>
        <w:rPr>
          <w:rFonts w:ascii="Roboto" w:eastAsia="Roboto" w:hAnsi="Roboto" w:cs="Roboto"/>
          <w:color w:val="E83544"/>
          <w:sz w:val="22"/>
          <w:szCs w:val="22"/>
        </w:rPr>
        <w:t xml:space="preserve"> </w:t>
      </w:r>
      <w:hyperlink r:id="rId15">
        <w:r>
          <w:rPr>
            <w:rFonts w:ascii="Roboto" w:eastAsia="Roboto" w:hAnsi="Roboto" w:cs="Roboto"/>
            <w:color w:val="E83544"/>
            <w:sz w:val="22"/>
            <w:szCs w:val="22"/>
            <w:u w:val="single"/>
          </w:rPr>
          <w:t>evamc@varenga.es</w:t>
        </w:r>
      </w:hyperlink>
    </w:p>
    <w:p w14:paraId="00000035" w14:textId="77777777" w:rsidR="00CE2350" w:rsidRDefault="00CE2350">
      <w:pPr>
        <w:spacing w:after="160"/>
        <w:jc w:val="both"/>
        <w:rPr>
          <w:rFonts w:ascii="Roboto" w:eastAsia="Roboto" w:hAnsi="Roboto" w:cs="Roboto"/>
          <w:color w:val="333333"/>
          <w:sz w:val="27"/>
          <w:szCs w:val="27"/>
          <w:highlight w:val="white"/>
        </w:rPr>
      </w:pPr>
    </w:p>
    <w:p w14:paraId="00000036" w14:textId="77777777" w:rsidR="00CE2350" w:rsidRDefault="00CE2350"/>
    <w:p w14:paraId="00000037" w14:textId="77777777" w:rsidR="00CE2350" w:rsidRDefault="00CE2350"/>
    <w:p w14:paraId="00000038" w14:textId="77777777" w:rsidR="00CE2350" w:rsidRDefault="00CE2350"/>
    <w:p w14:paraId="00000039" w14:textId="77777777" w:rsidR="00CE2350" w:rsidRDefault="00CE2350">
      <w:pPr>
        <w:pBdr>
          <w:top w:val="nil"/>
          <w:left w:val="nil"/>
          <w:bottom w:val="nil"/>
          <w:right w:val="nil"/>
          <w:between w:val="nil"/>
        </w:pBdr>
        <w:rPr>
          <w:rFonts w:ascii="Calibri" w:eastAsia="Calibri" w:hAnsi="Calibri" w:cs="Calibri"/>
          <w:highlight w:val="white"/>
        </w:rPr>
      </w:pPr>
    </w:p>
    <w:sectPr w:rsidR="00CE2350">
      <w:headerReference w:type="even" r:id="rId16"/>
      <w:headerReference w:type="default" r:id="rId17"/>
      <w:footerReference w:type="even" r:id="rId18"/>
      <w:footerReference w:type="default" r:id="rId19"/>
      <w:headerReference w:type="first" r:id="rId20"/>
      <w:footerReference w:type="first" r:id="rId21"/>
      <w:pgSz w:w="11906" w:h="16838"/>
      <w:pgMar w:top="1417" w:right="1701" w:bottom="1276"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B0AF34" w14:textId="77777777" w:rsidR="008C1956" w:rsidRDefault="008C1956">
      <w:r>
        <w:separator/>
      </w:r>
    </w:p>
  </w:endnote>
  <w:endnote w:type="continuationSeparator" w:id="0">
    <w:p w14:paraId="5FD1EEB5" w14:textId="77777777" w:rsidR="008C1956" w:rsidRDefault="008C19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7ED2E07-2CB5-4ACF-BDC4-C8E6C20B8DB8}"/>
  </w:font>
  <w:font w:name="Roboto">
    <w:charset w:val="00"/>
    <w:family w:val="auto"/>
    <w:pitch w:val="variable"/>
    <w:sig w:usb0="E0000AFF" w:usb1="5000217F" w:usb2="00000021" w:usb3="00000000" w:csb0="0000019F" w:csb1="00000000"/>
    <w:embedRegular r:id="rId2" w:fontKey="{EB4AF77B-E7E7-4D24-B364-079D3C417436}"/>
    <w:embedBold r:id="rId3" w:fontKey="{D5ADC284-3B8A-4478-AFC5-8BE590A7208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7ED595E8-49C9-4691-851E-0F3FC0D820DA}"/>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r:id="rId5" w:fontKey="{7726FCA5-36AE-41A3-B7BF-256FB22FEF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4" w14:textId="77777777" w:rsidR="00CE2350" w:rsidRDefault="00CE2350">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1" w14:textId="035D099E" w:rsidR="00CE2350" w:rsidRDefault="005925FE">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9425DE">
      <w:rPr>
        <w:noProof/>
        <w:color w:val="000000"/>
      </w:rPr>
      <w:t>1</w:t>
    </w:r>
    <w:r>
      <w:rPr>
        <w:color w:val="000000"/>
      </w:rPr>
      <w:fldChar w:fldCharType="end"/>
    </w:r>
  </w:p>
  <w:p w14:paraId="00000042" w14:textId="77777777" w:rsidR="00CE2350" w:rsidRDefault="00CE2350">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3" w14:textId="77777777" w:rsidR="00CE2350" w:rsidRDefault="00CE2350">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21E348" w14:textId="77777777" w:rsidR="008C1956" w:rsidRDefault="008C1956">
      <w:r>
        <w:separator/>
      </w:r>
    </w:p>
  </w:footnote>
  <w:footnote w:type="continuationSeparator" w:id="0">
    <w:p w14:paraId="1DA96BC5" w14:textId="77777777" w:rsidR="008C1956" w:rsidRDefault="008C19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0" w14:textId="77777777" w:rsidR="00CE2350" w:rsidRDefault="00CE2350">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A" w14:textId="77777777" w:rsidR="00CE2350" w:rsidRDefault="005925FE">
    <w:pPr>
      <w:spacing w:line="276" w:lineRule="auto"/>
    </w:pPr>
    <w:r>
      <w:t xml:space="preserve">                                                                           </w:t>
    </w:r>
    <w:r>
      <w:rPr>
        <w:noProof/>
      </w:rPr>
      <w:drawing>
        <wp:anchor distT="0" distB="0" distL="0" distR="0" simplePos="0" relativeHeight="251658240" behindDoc="0" locked="0" layoutInCell="1" hidden="0" allowOverlap="1" wp14:anchorId="3B3141E7" wp14:editId="6BBA0625">
          <wp:simplePos x="0" y="0"/>
          <wp:positionH relativeFrom="column">
            <wp:posOffset>19050</wp:posOffset>
          </wp:positionH>
          <wp:positionV relativeFrom="paragraph">
            <wp:posOffset>19050</wp:posOffset>
          </wp:positionV>
          <wp:extent cx="1240365" cy="805879"/>
          <wp:effectExtent l="0" t="0" r="0" b="0"/>
          <wp:wrapNone/>
          <wp:docPr id="17099659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240365" cy="805879"/>
                  </a:xfrm>
                  <a:prstGeom prst="rect">
                    <a:avLst/>
                  </a:prstGeom>
                  <a:ln/>
                </pic:spPr>
              </pic:pic>
            </a:graphicData>
          </a:graphic>
        </wp:anchor>
      </w:drawing>
    </w:r>
    <w:r>
      <w:rPr>
        <w:noProof/>
      </w:rPr>
      <w:drawing>
        <wp:anchor distT="0" distB="0" distL="0" distR="0" simplePos="0" relativeHeight="251658241" behindDoc="0" locked="0" layoutInCell="1" hidden="0" allowOverlap="1" wp14:anchorId="5A8AA15E" wp14:editId="135D6A98">
          <wp:simplePos x="0" y="0"/>
          <wp:positionH relativeFrom="column">
            <wp:posOffset>4152900</wp:posOffset>
          </wp:positionH>
          <wp:positionV relativeFrom="paragraph">
            <wp:posOffset>142875</wp:posOffset>
          </wp:positionV>
          <wp:extent cx="1157297" cy="684798"/>
          <wp:effectExtent l="0" t="0" r="0" b="0"/>
          <wp:wrapNone/>
          <wp:docPr id="17099659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t="-8" b="-8"/>
                  <a:stretch>
                    <a:fillRect/>
                  </a:stretch>
                </pic:blipFill>
                <pic:spPr>
                  <a:xfrm>
                    <a:off x="0" y="0"/>
                    <a:ext cx="1157297" cy="684798"/>
                  </a:xfrm>
                  <a:prstGeom prst="rect">
                    <a:avLst/>
                  </a:prstGeom>
                  <a:ln/>
                </pic:spPr>
              </pic:pic>
            </a:graphicData>
          </a:graphic>
        </wp:anchor>
      </w:drawing>
    </w:r>
  </w:p>
  <w:p w14:paraId="0000003B" w14:textId="77777777" w:rsidR="00CE2350" w:rsidRDefault="00CE2350">
    <w:pPr>
      <w:spacing w:line="276" w:lineRule="auto"/>
    </w:pPr>
  </w:p>
  <w:p w14:paraId="0000003C" w14:textId="77777777" w:rsidR="00CE2350" w:rsidRDefault="00CE2350">
    <w:pPr>
      <w:spacing w:line="276" w:lineRule="auto"/>
    </w:pPr>
  </w:p>
  <w:p w14:paraId="0000003D" w14:textId="77777777" w:rsidR="00CE2350" w:rsidRDefault="00CE2350">
    <w:pPr>
      <w:spacing w:line="276" w:lineRule="auto"/>
    </w:pPr>
  </w:p>
  <w:p w14:paraId="0000003E" w14:textId="77777777" w:rsidR="00CE2350" w:rsidRDefault="00CE2350">
    <w:pPr>
      <w:spacing w:line="276"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F" w14:textId="77777777" w:rsidR="00CE2350" w:rsidRDefault="00CE2350">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D10D5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BA937C8"/>
    <w:multiLevelType w:val="multilevel"/>
    <w:tmpl w:val="631EE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95921436">
    <w:abstractNumId w:val="1"/>
  </w:num>
  <w:num w:numId="2" w16cid:durableId="18552673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E47"/>
    <w:rsid w:val="00255832"/>
    <w:rsid w:val="0027543E"/>
    <w:rsid w:val="00341DAF"/>
    <w:rsid w:val="005925FE"/>
    <w:rsid w:val="006F6560"/>
    <w:rsid w:val="00773664"/>
    <w:rsid w:val="007D6AA8"/>
    <w:rsid w:val="0083672B"/>
    <w:rsid w:val="008C1956"/>
    <w:rsid w:val="009425DE"/>
    <w:rsid w:val="00AC4776"/>
    <w:rsid w:val="00B73953"/>
    <w:rsid w:val="00CE2350"/>
    <w:rsid w:val="00DC5E47"/>
    <w:rsid w:val="00E1025E"/>
    <w:rsid w:val="00EC1DD0"/>
    <w:rsid w:val="0C4F5C67"/>
    <w:rsid w:val="452E3F1E"/>
    <w:rsid w:val="5FDF18F2"/>
    <w:rsid w:val="74ECF8D4"/>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CEF553"/>
  <w15:docId w15:val="{384CC823-7B8F-43B1-A35A-03D8728A8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00">
    <w:name w:val="TableNormal0"/>
    <w:tblPr>
      <w:tblCellMar>
        <w:top w:w="100" w:type="dxa"/>
        <w:left w:w="100" w:type="dxa"/>
        <w:bottom w:w="100" w:type="dxa"/>
        <w:right w:w="100" w:type="dxa"/>
      </w:tblCellMar>
    </w:tblPr>
  </w:style>
  <w:style w:type="table" w:customStyle="1" w:styleId="TableNormal1">
    <w:name w:val="TableNormal1"/>
    <w:tblPr>
      <w:tblCellMar>
        <w:top w:w="100" w:type="dxa"/>
        <w:left w:w="100" w:type="dxa"/>
        <w:bottom w:w="100" w:type="dxa"/>
        <w:right w:w="100" w:type="dxa"/>
      </w:tblCellMar>
    </w:tblPr>
  </w:style>
  <w:style w:type="table" w:customStyle="1" w:styleId="TableNormal2">
    <w:name w:val="TableNormal2"/>
    <w:tblPr>
      <w:tblCellMar>
        <w:top w:w="100" w:type="dxa"/>
        <w:left w:w="100" w:type="dxa"/>
        <w:bottom w:w="100" w:type="dxa"/>
        <w:right w:w="100" w:type="dxa"/>
      </w:tblCellMar>
    </w:tblPr>
  </w:style>
  <w:style w:type="table" w:customStyle="1" w:styleId="TableNormal3">
    <w:name w:val="TableNormal3"/>
    <w:tblPr>
      <w:tblCellMar>
        <w:top w:w="100" w:type="dxa"/>
        <w:left w:w="100" w:type="dxa"/>
        <w:bottom w:w="100" w:type="dxa"/>
        <w:right w:w="100" w:type="dxa"/>
      </w:tblCellMar>
    </w:tblPr>
  </w:style>
  <w:style w:type="table" w:customStyle="1" w:styleId="TableNormal4">
    <w:name w:val="TableNormal4"/>
    <w:tblPr>
      <w:tblCellMar>
        <w:top w:w="100" w:type="dxa"/>
        <w:left w:w="100" w:type="dxa"/>
        <w:bottom w:w="100" w:type="dxa"/>
        <w:right w:w="100" w:type="dxa"/>
      </w:tblCellMar>
    </w:tblPr>
  </w:style>
  <w:style w:type="table" w:customStyle="1" w:styleId="TableNormal40">
    <w:name w:val="Table Normal4"/>
    <w:rsid w:val="006F08E0"/>
    <w:tblPr>
      <w:tblCellMar>
        <w:top w:w="0" w:type="dxa"/>
        <w:left w:w="0" w:type="dxa"/>
        <w:bottom w:w="0" w:type="dxa"/>
        <w:right w:w="0" w:type="dxa"/>
      </w:tblCellMar>
    </w:tblPr>
  </w:style>
  <w:style w:type="table" w:customStyle="1" w:styleId="TableNormal30">
    <w:name w:val="Table Normal3"/>
    <w:rsid w:val="009755B3"/>
    <w:tblPr>
      <w:tblCellMar>
        <w:top w:w="0" w:type="dxa"/>
        <w:left w:w="0" w:type="dxa"/>
        <w:bottom w:w="0" w:type="dxa"/>
        <w:right w:w="0" w:type="dxa"/>
      </w:tblCellMar>
    </w:tblPr>
  </w:style>
  <w:style w:type="table" w:customStyle="1" w:styleId="TableNormal20">
    <w:name w:val="Table Normal2"/>
    <w:rsid w:val="00A46C3D"/>
    <w:tblPr>
      <w:tblCellMar>
        <w:top w:w="0" w:type="dxa"/>
        <w:left w:w="0" w:type="dxa"/>
        <w:bottom w:w="0" w:type="dxa"/>
        <w:right w:w="0" w:type="dxa"/>
      </w:tblCellMar>
    </w:tblPr>
  </w:style>
  <w:style w:type="table" w:customStyle="1" w:styleId="NormalTable0">
    <w:name w:val="Normal Table0"/>
    <w:tblPr>
      <w:tblCellMar>
        <w:top w:w="0" w:type="dxa"/>
        <w:left w:w="0" w:type="dxa"/>
        <w:bottom w:w="0" w:type="dxa"/>
        <w:right w:w="0" w:type="dxa"/>
      </w:tblCellMar>
    </w:tblPr>
  </w:style>
  <w:style w:type="paragraph" w:styleId="Revision">
    <w:name w:val="Revision"/>
    <w:hidden/>
    <w:uiPriority w:val="99"/>
    <w:semiHidden/>
    <w:rsid w:val="007858B3"/>
  </w:style>
  <w:style w:type="character" w:styleId="Hyperlink">
    <w:name w:val="Hyperlink"/>
    <w:basedOn w:val="DefaultParagraphFont"/>
    <w:uiPriority w:val="99"/>
    <w:unhideWhenUsed/>
    <w:rsid w:val="00615075"/>
    <w:rPr>
      <w:color w:val="0000FF"/>
      <w:u w:val="single"/>
    </w:rPr>
  </w:style>
  <w:style w:type="paragraph" w:styleId="Header">
    <w:name w:val="header"/>
    <w:basedOn w:val="Normal"/>
    <w:link w:val="HeaderChar"/>
    <w:uiPriority w:val="99"/>
    <w:semiHidden/>
    <w:unhideWhenUsed/>
    <w:rsid w:val="00C215DA"/>
    <w:pPr>
      <w:tabs>
        <w:tab w:val="center" w:pos="4252"/>
        <w:tab w:val="right" w:pos="8504"/>
      </w:tabs>
    </w:pPr>
  </w:style>
  <w:style w:type="character" w:customStyle="1" w:styleId="HeaderChar">
    <w:name w:val="Header Char"/>
    <w:basedOn w:val="DefaultParagraphFont"/>
    <w:link w:val="Header"/>
    <w:uiPriority w:val="99"/>
    <w:semiHidden/>
    <w:rsid w:val="00C215DA"/>
  </w:style>
  <w:style w:type="paragraph" w:styleId="Footer">
    <w:name w:val="footer"/>
    <w:basedOn w:val="Normal"/>
    <w:link w:val="FooterChar"/>
    <w:uiPriority w:val="99"/>
    <w:semiHidden/>
    <w:unhideWhenUsed/>
    <w:rsid w:val="00C215DA"/>
    <w:pPr>
      <w:tabs>
        <w:tab w:val="center" w:pos="4252"/>
        <w:tab w:val="right" w:pos="8504"/>
      </w:tabs>
    </w:pPr>
  </w:style>
  <w:style w:type="character" w:customStyle="1" w:styleId="FooterChar">
    <w:name w:val="Footer Char"/>
    <w:basedOn w:val="DefaultParagraphFont"/>
    <w:link w:val="Footer"/>
    <w:uiPriority w:val="99"/>
    <w:semiHidden/>
    <w:rsid w:val="00C215DA"/>
  </w:style>
  <w:style w:type="character" w:styleId="FollowedHyperlink">
    <w:name w:val="FollowedHyperlink"/>
    <w:basedOn w:val="DefaultParagraphFont"/>
    <w:uiPriority w:val="99"/>
    <w:semiHidden/>
    <w:unhideWhenUsed/>
    <w:rsid w:val="00615075"/>
    <w:rPr>
      <w:color w:val="800080" w:themeColor="followedHyperlink"/>
      <w:u w:val="single"/>
    </w:rPr>
  </w:style>
  <w:style w:type="character" w:styleId="Strong">
    <w:name w:val="Strong"/>
    <w:basedOn w:val="DefaultParagraphFont"/>
    <w:uiPriority w:val="22"/>
    <w:qFormat/>
    <w:rsid w:val="001466CE"/>
    <w:rPr>
      <w:b/>
      <w:bCs/>
    </w:rPr>
  </w:style>
  <w:style w:type="character" w:styleId="CommentReference">
    <w:name w:val="annotation reference"/>
    <w:basedOn w:val="DefaultParagraphFont"/>
    <w:uiPriority w:val="99"/>
    <w:semiHidden/>
    <w:unhideWhenUsed/>
    <w:rsid w:val="003A12A1"/>
    <w:rPr>
      <w:sz w:val="16"/>
      <w:szCs w:val="16"/>
    </w:rPr>
  </w:style>
  <w:style w:type="paragraph" w:styleId="CommentText">
    <w:name w:val="annotation text"/>
    <w:basedOn w:val="Normal"/>
    <w:link w:val="CommentTextChar"/>
    <w:uiPriority w:val="99"/>
    <w:unhideWhenUsed/>
    <w:rsid w:val="003A12A1"/>
    <w:rPr>
      <w:sz w:val="20"/>
      <w:szCs w:val="20"/>
    </w:rPr>
  </w:style>
  <w:style w:type="character" w:customStyle="1" w:styleId="CommentTextChar">
    <w:name w:val="Comment Text Char"/>
    <w:basedOn w:val="DefaultParagraphFont"/>
    <w:link w:val="CommentText"/>
    <w:uiPriority w:val="99"/>
    <w:rsid w:val="003A12A1"/>
    <w:rPr>
      <w:sz w:val="20"/>
      <w:szCs w:val="20"/>
    </w:rPr>
  </w:style>
  <w:style w:type="paragraph" w:styleId="CommentSubject">
    <w:name w:val="annotation subject"/>
    <w:basedOn w:val="CommentText"/>
    <w:next w:val="CommentText"/>
    <w:link w:val="CommentSubjectChar"/>
    <w:uiPriority w:val="99"/>
    <w:semiHidden/>
    <w:unhideWhenUsed/>
    <w:rsid w:val="003A12A1"/>
    <w:rPr>
      <w:b/>
      <w:bCs/>
    </w:rPr>
  </w:style>
  <w:style w:type="character" w:customStyle="1" w:styleId="CommentSubjectChar">
    <w:name w:val="Comment Subject Char"/>
    <w:basedOn w:val="CommentTextChar"/>
    <w:link w:val="CommentSubject"/>
    <w:uiPriority w:val="99"/>
    <w:semiHidden/>
    <w:rsid w:val="003A12A1"/>
    <w:rPr>
      <w:b/>
      <w:bCs/>
      <w:sz w:val="20"/>
      <w:szCs w:val="20"/>
    </w:rPr>
  </w:style>
  <w:style w:type="table" w:customStyle="1" w:styleId="TableNormal10">
    <w:name w:val="Table Normal1"/>
    <w:rsid w:val="00FB6A16"/>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PlaceholderText">
    <w:name w:val="Placeholder Text"/>
    <w:basedOn w:val="DefaultParagraphFont"/>
    <w:uiPriority w:val="99"/>
    <w:semiHidden/>
    <w:rsid w:val="74ECF8D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nac.e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madrid.es/portales/munimadrid/es/Inicio/Direcciones-y-telefonos/Entidad-Nacional-de-Acreditacion-ENAC-/?vgnextfmt=default&amp;vgnextoid=2a8cfa56026c2210VgnVCM2000000c205a0aRCRD&amp;vgnextchannel=bfa48ab43d6bb410VgnVCM100000171f5a0aRCRD"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ecd.org/content/dam/oecd/en/publications/reports/2025/09/reinforcing-regulatory-frameworks-through-standards-measurements-and-assurance_4ef3a79d/f398be90-en.pdf" TargetMode="External"/><Relationship Id="rId5" Type="http://schemas.openxmlformats.org/officeDocument/2006/relationships/numbering" Target="numbering.xml"/><Relationship Id="rId15" Type="http://schemas.openxmlformats.org/officeDocument/2006/relationships/hyperlink" Target="mailto:evamc@varenga.e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CyAQC/s6y9p5Ia7H9XDiBf4hmQ==">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</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e290ce1-b2e7-4ccb-948d-a290ef611fa1">
      <Terms xmlns="http://schemas.microsoft.com/office/infopath/2007/PartnerControls"/>
    </lcf76f155ced4ddcb4097134ff3c332f>
    <TaxCatchAll xmlns="909e21e3-a2e2-47ca-be0e-9c3a9bef929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9152DE15686E4843A3780C010A78B13A" ma:contentTypeVersion="16" ma:contentTypeDescription="Crear nuevo documento." ma:contentTypeScope="" ma:versionID="35b7714a55062d14d892f3522112704a">
  <xsd:schema xmlns:xsd="http://www.w3.org/2001/XMLSchema" xmlns:xs="http://www.w3.org/2001/XMLSchema" xmlns:p="http://schemas.microsoft.com/office/2006/metadata/properties" xmlns:ns2="6e290ce1-b2e7-4ccb-948d-a290ef611fa1" xmlns:ns3="909e21e3-a2e2-47ca-be0e-9c3a9bef9292" targetNamespace="http://schemas.microsoft.com/office/2006/metadata/properties" ma:root="true" ma:fieldsID="92a12215dc0792136b523b9589aa527d" ns2:_="" ns3:_="">
    <xsd:import namespace="6e290ce1-b2e7-4ccb-948d-a290ef611fa1"/>
    <xsd:import namespace="909e21e3-a2e2-47ca-be0e-9c3a9bef929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90ce1-b2e7-4ccb-948d-a290ef611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45c5079e-b5d9-4f40-8558-acc8d9d79a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9e21e3-a2e2-47ca-be0e-9c3a9bef9292"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36efcf77-0706-4f8e-b256-a6b4bd8b1840}" ma:internalName="TaxCatchAll" ma:showField="CatchAllData" ma:web="909e21e3-a2e2-47ca-be0e-9c3a9bef92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EB07E53-2102-467B-8972-7711CB8173EC}">
  <ds:schemaRefs>
    <ds:schemaRef ds:uri="http://schemas.microsoft.com/office/2006/metadata/properties"/>
    <ds:schemaRef ds:uri="http://schemas.microsoft.com/office/infopath/2007/PartnerControls"/>
    <ds:schemaRef ds:uri="6e290ce1-b2e7-4ccb-948d-a290ef611fa1"/>
    <ds:schemaRef ds:uri="909e21e3-a2e2-47ca-be0e-9c3a9bef9292"/>
  </ds:schemaRefs>
</ds:datastoreItem>
</file>

<file path=customXml/itemProps3.xml><?xml version="1.0" encoding="utf-8"?>
<ds:datastoreItem xmlns:ds="http://schemas.openxmlformats.org/officeDocument/2006/customXml" ds:itemID="{B2B39798-017B-4D08-82E0-9D90B59C0F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290ce1-b2e7-4ccb-948d-a290ef611fa1"/>
    <ds:schemaRef ds:uri="909e21e3-a2e2-47ca-be0e-9c3a9bef92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A3CAC7-8A24-4B37-B4D7-A51B85BFD8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1027</Words>
  <Characters>5860</Characters>
  <Application>Microsoft Office Word</Application>
  <DocSecurity>4</DocSecurity>
  <Lines>48</Lines>
  <Paragraphs>13</Paragraphs>
  <ScaleCrop>false</ScaleCrop>
  <Company/>
  <LinksUpToDate>false</LinksUpToDate>
  <CharactersWithSpaces>6874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Irene Gonzalez Fernandez</dc:creator>
  <cp:keywords/>
  <cp:lastModifiedBy>Eva Martín</cp:lastModifiedBy>
  <cp:revision>6</cp:revision>
  <dcterms:created xsi:type="dcterms:W3CDTF">2023-05-05T02:41:00Z</dcterms:created>
  <dcterms:modified xsi:type="dcterms:W3CDTF">2026-03-11T09:50:00Z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0x0101009152DE15686E4843A3780C010A78B13A</vt:lpwstr>
  </property>
  <property fmtid="{D5CDD505-2E9C-101B-9397-08002B2CF9AE}" pid="3" name="MediaServiceImageTags">
    <vt:lpwstr/>
  </property>
</Properties>
</file>