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A22054" w:rsidRDefault="0027148C" w14:paraId="54E1AACB" w14:textId="77777777">
      <w:pPr>
        <w:spacing w:line="276" w:lineRule="auto"/>
        <w:jc w:val="center"/>
        <w:rPr>
          <w:rFonts w:ascii="Roboto" w:hAnsi="Roboto" w:eastAsia="Roboto" w:cs="Roboto"/>
          <w:sz w:val="22"/>
          <w:szCs w:val="22"/>
        </w:rPr>
      </w:pPr>
      <w:r>
        <w:rPr>
          <w:rFonts w:ascii="Roboto" w:hAnsi="Roboto" w:eastAsia="Roboto" w:cs="Roboto"/>
          <w:b/>
          <w:bCs/>
          <w:sz w:val="40"/>
          <w:szCs w:val="40"/>
        </w:rPr>
        <w:t>NOTA DE PRENSA</w:t>
      </w:r>
      <w:r>
        <w:rPr>
          <w:rFonts w:ascii="Roboto" w:hAnsi="Roboto" w:eastAsia="Roboto" w:cs="Roboto"/>
          <w:sz w:val="22"/>
          <w:szCs w:val="22"/>
        </w:rPr>
        <w:t xml:space="preserve"> </w:t>
      </w:r>
    </w:p>
    <w:p w:rsidR="00A22054" w:rsidRDefault="00A22054" w14:paraId="54E1AACC" w14:textId="77777777">
      <w:pPr>
        <w:jc w:val="center"/>
        <w:rPr>
          <w:rFonts w:ascii="Roboto" w:hAnsi="Roboto" w:eastAsia="Roboto" w:cs="Roboto"/>
          <w:b/>
          <w:bCs/>
          <w:sz w:val="34"/>
          <w:szCs w:val="34"/>
        </w:rPr>
      </w:pPr>
    </w:p>
    <w:p w:rsidR="00A22054" w:rsidRDefault="0027148C" w14:paraId="54E1AACD" w14:textId="3A9C43F5">
      <w:pPr>
        <w:jc w:val="center"/>
        <w:rPr>
          <w:rFonts w:ascii="Roboto" w:hAnsi="Roboto" w:eastAsia="Roboto" w:cs="Roboto"/>
          <w:b w:val="1"/>
          <w:bCs w:val="1"/>
          <w:sz w:val="34"/>
          <w:szCs w:val="34"/>
        </w:rPr>
      </w:pPr>
      <w:r w:rsidRPr="6034A0A7" w:rsidR="0027148C">
        <w:rPr>
          <w:rFonts w:ascii="Roboto" w:hAnsi="Roboto" w:eastAsia="Roboto" w:cs="Roboto"/>
          <w:b w:val="1"/>
          <w:bCs w:val="1"/>
          <w:sz w:val="34"/>
          <w:szCs w:val="34"/>
        </w:rPr>
        <w:t xml:space="preserve">El sistema de acreditación español </w:t>
      </w:r>
      <w:r w:rsidRPr="6034A0A7" w:rsidR="00F61392">
        <w:rPr>
          <w:rFonts w:ascii="Roboto" w:hAnsi="Roboto" w:eastAsia="Roboto" w:cs="Roboto"/>
          <w:b w:val="1"/>
          <w:bCs w:val="1"/>
          <w:sz w:val="34"/>
          <w:szCs w:val="34"/>
        </w:rPr>
        <w:t xml:space="preserve">crece </w:t>
      </w:r>
      <w:r w:rsidRPr="6034A0A7" w:rsidR="0027148C">
        <w:rPr>
          <w:rFonts w:ascii="Roboto" w:hAnsi="Roboto" w:eastAsia="Roboto" w:cs="Roboto"/>
          <w:b w:val="1"/>
          <w:bCs w:val="1"/>
          <w:sz w:val="34"/>
          <w:szCs w:val="34"/>
        </w:rPr>
        <w:t>un 3%</w:t>
      </w:r>
      <w:r w:rsidRPr="6034A0A7" w:rsidR="00B469BA">
        <w:rPr>
          <w:rFonts w:ascii="Roboto" w:hAnsi="Roboto" w:eastAsia="Roboto" w:cs="Roboto"/>
          <w:b w:val="1"/>
          <w:bCs w:val="1"/>
          <w:sz w:val="34"/>
          <w:szCs w:val="34"/>
        </w:rPr>
        <w:t xml:space="preserve"> reforzando </w:t>
      </w:r>
      <w:r w:rsidRPr="6034A0A7" w:rsidR="0027148C">
        <w:rPr>
          <w:rFonts w:ascii="Roboto" w:hAnsi="Roboto" w:eastAsia="Roboto" w:cs="Roboto"/>
          <w:b w:val="1"/>
          <w:bCs w:val="1"/>
          <w:sz w:val="34"/>
          <w:szCs w:val="34"/>
        </w:rPr>
        <w:t xml:space="preserve">su avance </w:t>
      </w:r>
      <w:r w:rsidRPr="6034A0A7" w:rsidR="00EE4FD3">
        <w:rPr>
          <w:rFonts w:ascii="Roboto" w:hAnsi="Roboto" w:eastAsia="Roboto" w:cs="Roboto"/>
          <w:b w:val="1"/>
          <w:bCs w:val="1"/>
          <w:sz w:val="34"/>
          <w:szCs w:val="34"/>
        </w:rPr>
        <w:t xml:space="preserve">hacia </w:t>
      </w:r>
      <w:r w:rsidRPr="6034A0A7" w:rsidR="0027148C">
        <w:rPr>
          <w:rFonts w:ascii="Roboto" w:hAnsi="Roboto" w:eastAsia="Roboto" w:cs="Roboto"/>
          <w:b w:val="1"/>
          <w:bCs w:val="1"/>
          <w:sz w:val="34"/>
          <w:szCs w:val="34"/>
        </w:rPr>
        <w:t xml:space="preserve">nuevos sectores </w:t>
      </w:r>
    </w:p>
    <w:p w:rsidR="00A22054" w:rsidRDefault="0027148C" w14:paraId="54E1AACE" w14:textId="77777777">
      <w:pPr>
        <w:jc w:val="center"/>
        <w:rPr>
          <w:rFonts w:ascii="Roboto" w:hAnsi="Roboto" w:eastAsia="Roboto" w:cs="Roboto"/>
          <w:b/>
          <w:bCs/>
          <w:sz w:val="34"/>
          <w:szCs w:val="34"/>
        </w:rPr>
      </w:pPr>
      <w:r>
        <w:rPr>
          <w:rFonts w:ascii="Roboto" w:hAnsi="Roboto" w:eastAsia="Roboto" w:cs="Roboto"/>
          <w:b/>
          <w:bCs/>
          <w:sz w:val="34"/>
          <w:szCs w:val="34"/>
        </w:rPr>
        <w:t xml:space="preserve">  </w:t>
      </w:r>
    </w:p>
    <w:p w:rsidR="00A22054" w:rsidRDefault="0027148C" w14:paraId="54E1AACF" w14:textId="2E3784AD">
      <w:pPr>
        <w:numPr>
          <w:ilvl w:val="0"/>
          <w:numId w:val="1"/>
        </w:numPr>
        <w:jc w:val="both"/>
        <w:rPr>
          <w:rFonts w:ascii="Roboto" w:hAnsi="Roboto" w:eastAsia="Roboto" w:cs="Roboto"/>
          <w:b w:val="1"/>
          <w:bCs w:val="1"/>
          <w:sz w:val="20"/>
          <w:szCs w:val="20"/>
        </w:rPr>
      </w:pPr>
      <w:r w:rsidRPr="6034A0A7" w:rsidR="000C4167">
        <w:rPr>
          <w:rFonts w:ascii="Roboto" w:hAnsi="Roboto" w:eastAsia="Roboto" w:cs="Roboto"/>
          <w:b w:val="1"/>
          <w:bCs w:val="1"/>
          <w:sz w:val="20"/>
          <w:szCs w:val="20"/>
          <w:highlight w:val="white"/>
        </w:rPr>
        <w:t>España ya</w:t>
      </w:r>
      <w:r w:rsidRPr="6034A0A7" w:rsidR="000C4167">
        <w:rPr>
          <w:rFonts w:ascii="Roboto" w:hAnsi="Roboto" w:eastAsia="Roboto" w:cs="Roboto"/>
          <w:b w:val="1"/>
          <w:bCs w:val="1"/>
          <w:sz w:val="20"/>
          <w:szCs w:val="20"/>
          <w:highlight w:val="white"/>
        </w:rPr>
        <w:t xml:space="preserve"> cuenta con </w:t>
      </w:r>
      <w:r w:rsidRPr="6034A0A7" w:rsidR="000C4167">
        <w:rPr>
          <w:rFonts w:ascii="Roboto" w:hAnsi="Roboto" w:eastAsia="Roboto" w:cs="Roboto"/>
          <w:b w:val="1"/>
          <w:bCs w:val="1"/>
          <w:sz w:val="20"/>
          <w:szCs w:val="20"/>
          <w:highlight w:val="white"/>
        </w:rPr>
        <w:t>más</w:t>
      </w:r>
      <w:r w:rsidRPr="6034A0A7" w:rsidR="0027148C">
        <w:rPr>
          <w:rFonts w:ascii="Roboto" w:hAnsi="Roboto" w:eastAsia="Roboto" w:cs="Roboto"/>
          <w:b w:val="1"/>
          <w:bCs w:val="1"/>
          <w:sz w:val="20"/>
          <w:szCs w:val="20"/>
          <w:highlight w:val="white"/>
        </w:rPr>
        <w:t xml:space="preserve"> 2.000 entidades acreditadas, destacando el incremento superior al 20% en áreas de validación y verificación impulsadas por la sostenibilidad, la eficiencia energética y la gestión de fondos públicos.</w:t>
      </w:r>
      <w:r w:rsidRPr="6034A0A7" w:rsidR="0027148C">
        <w:rPr>
          <w:rFonts w:ascii="Roboto" w:hAnsi="Roboto" w:eastAsia="Roboto" w:cs="Roboto"/>
          <w:b w:val="1"/>
          <w:bCs w:val="1"/>
          <w:sz w:val="20"/>
          <w:szCs w:val="20"/>
        </w:rPr>
        <w:t xml:space="preserve"> </w:t>
      </w:r>
    </w:p>
    <w:p w:rsidR="00A22054" w:rsidRDefault="00A22054" w14:paraId="54E1AAD0" w14:textId="77777777">
      <w:pPr>
        <w:ind w:left="720"/>
        <w:jc w:val="both"/>
        <w:rPr>
          <w:rFonts w:ascii="Roboto" w:hAnsi="Roboto" w:eastAsia="Roboto" w:cs="Roboto"/>
          <w:b/>
          <w:bCs/>
          <w:sz w:val="20"/>
          <w:szCs w:val="20"/>
        </w:rPr>
      </w:pPr>
    </w:p>
    <w:p w:rsidR="00A22054" w:rsidRDefault="0027148C" w14:paraId="54E1AAD1" w14:textId="77777777">
      <w:pPr>
        <w:numPr>
          <w:ilvl w:val="0"/>
          <w:numId w:val="1"/>
        </w:numPr>
        <w:jc w:val="both"/>
        <w:rPr>
          <w:rFonts w:ascii="Roboto" w:hAnsi="Roboto" w:eastAsia="Roboto" w:cs="Roboto"/>
          <w:b/>
          <w:bCs/>
          <w:sz w:val="20"/>
          <w:szCs w:val="20"/>
        </w:rPr>
      </w:pPr>
      <w:r>
        <w:rPr>
          <w:rFonts w:ascii="Roboto" w:hAnsi="Roboto" w:eastAsia="Roboto" w:cs="Roboto"/>
          <w:b/>
          <w:bCs/>
          <w:sz w:val="20"/>
          <w:szCs w:val="20"/>
          <w:highlight w:val="white"/>
        </w:rPr>
        <w:t>La acreditación aporta seguridad y confianza en el adecuado despliegue de las políticas públ</w:t>
      </w:r>
      <w:r>
        <w:rPr>
          <w:rFonts w:ascii="Roboto" w:hAnsi="Roboto" w:eastAsia="Roboto" w:cs="Roboto"/>
          <w:b/>
          <w:bCs/>
          <w:sz w:val="20"/>
          <w:szCs w:val="20"/>
          <w:highlight w:val="white"/>
        </w:rPr>
        <w:t>icas y apoya los procesos de simplificación administrativa, integrándose en cerca de 400 disposiciones, tal y como se destacó durante la presentación de la Memoria de Actividad.</w:t>
      </w:r>
      <w:r>
        <w:rPr>
          <w:rFonts w:ascii="Roboto" w:hAnsi="Roboto" w:eastAsia="Roboto" w:cs="Roboto"/>
          <w:b/>
          <w:bCs/>
          <w:sz w:val="20"/>
          <w:szCs w:val="20"/>
        </w:rPr>
        <w:t xml:space="preserve"> </w:t>
      </w:r>
    </w:p>
    <w:p w:rsidR="00A22054" w:rsidRDefault="00A22054" w14:paraId="54E1AAD2" w14:textId="77777777">
      <w:pPr>
        <w:jc w:val="both"/>
        <w:rPr>
          <w:rFonts w:ascii="Roboto" w:hAnsi="Roboto" w:eastAsia="Roboto" w:cs="Roboto"/>
          <w:sz w:val="22"/>
          <w:szCs w:val="22"/>
        </w:rPr>
      </w:pPr>
    </w:p>
    <w:p w:rsidR="00A22054" w:rsidRDefault="0027148C" w14:paraId="54E1AAD3" w14:textId="77777777">
      <w:pPr>
        <w:jc w:val="both"/>
        <w:rPr>
          <w:rFonts w:ascii="Roboto" w:hAnsi="Roboto" w:eastAsia="Roboto" w:cs="Roboto"/>
          <w:sz w:val="22"/>
          <w:szCs w:val="22"/>
          <w:highlight w:val="white"/>
        </w:rPr>
      </w:pPr>
      <w:r>
        <w:rPr>
          <w:rFonts w:ascii="Roboto" w:hAnsi="Roboto" w:eastAsia="Roboto" w:cs="Roboto"/>
          <w:sz w:val="22"/>
          <w:szCs w:val="22"/>
        </w:rPr>
        <w:t xml:space="preserve">Madrid, 24 de junio de 2026. </w:t>
      </w:r>
      <w:r>
        <w:rPr>
          <w:rFonts w:ascii="Roboto" w:hAnsi="Roboto" w:eastAsia="Roboto" w:cs="Roboto"/>
          <w:sz w:val="22"/>
          <w:szCs w:val="22"/>
          <w:highlight w:val="white"/>
        </w:rPr>
        <w:t xml:space="preserve">La </w:t>
      </w:r>
      <w:hyperlink r:id="rId11">
        <w:r w:rsidR="00A22054">
          <w:rPr>
            <w:rFonts w:ascii="Roboto" w:hAnsi="Roboto" w:eastAsia="Roboto" w:cs="Roboto"/>
            <w:b/>
            <w:bCs/>
            <w:color w:val="1155CC"/>
            <w:sz w:val="22"/>
            <w:szCs w:val="22"/>
            <w:highlight w:val="white"/>
            <w:u w:val="single"/>
          </w:rPr>
          <w:t>Entidad Nacional de Acreditación</w:t>
        </w:r>
      </w:hyperlink>
      <w:r>
        <w:rPr>
          <w:rFonts w:ascii="Roboto" w:hAnsi="Roboto" w:eastAsia="Roboto" w:cs="Roboto"/>
          <w:sz w:val="22"/>
          <w:szCs w:val="22"/>
          <w:highlight w:val="white"/>
        </w:rPr>
        <w:t xml:space="preserve"> (ENAC) ha presentado la </w:t>
      </w:r>
      <w:hyperlink r:id="rId12">
        <w:r w:rsidR="00A22054">
          <w:rPr>
            <w:rFonts w:ascii="Roboto" w:hAnsi="Roboto" w:eastAsia="Roboto" w:cs="Roboto"/>
            <w:color w:val="1155CC"/>
            <w:sz w:val="22"/>
            <w:szCs w:val="22"/>
            <w:highlight w:val="white"/>
            <w:u w:val="single"/>
          </w:rPr>
          <w:t>Memoria de Actividad 2025</w:t>
        </w:r>
      </w:hyperlink>
      <w:r>
        <w:rPr>
          <w:rFonts w:ascii="Roboto" w:hAnsi="Roboto" w:eastAsia="Roboto" w:cs="Roboto"/>
          <w:sz w:val="22"/>
          <w:szCs w:val="22"/>
          <w:highlight w:val="white"/>
        </w:rPr>
        <w:t xml:space="preserve"> durante la reunión de su Asamblea General, en la que José Manuel Prieto, presidente de la entidad, ha destacado el papel de la </w:t>
      </w:r>
      <w:r>
        <w:rPr>
          <w:rFonts w:ascii="Roboto" w:hAnsi="Roboto" w:eastAsia="Roboto" w:cs="Roboto"/>
          <w:sz w:val="22"/>
          <w:szCs w:val="22"/>
          <w:highlight w:val="white"/>
        </w:rPr>
        <w:t>acreditación como “</w:t>
      </w:r>
      <w:r>
        <w:rPr>
          <w:rFonts w:ascii="Roboto" w:hAnsi="Roboto" w:eastAsia="Roboto" w:cs="Roboto"/>
          <w:sz w:val="22"/>
          <w:szCs w:val="22"/>
        </w:rPr>
        <w:t>una herramienta esencial para garantizar la correcta aplicación de las políticas públicas, reforzar la competitividad y aportar confianza en un contexto internacional caracterizado por la aceleración tecnológica, la transición hacia modelos más sostenibles y la evolución de la regulación europea</w:t>
      </w:r>
      <w:r>
        <w:rPr>
          <w:rFonts w:ascii="Roboto" w:hAnsi="Roboto" w:eastAsia="Roboto" w:cs="Roboto"/>
          <w:sz w:val="22"/>
          <w:szCs w:val="22"/>
          <w:highlight w:val="white"/>
        </w:rPr>
        <w:t>”.</w:t>
      </w:r>
    </w:p>
    <w:p w:rsidR="00A22054" w:rsidRDefault="00A22054" w14:paraId="54E1AAD4" w14:textId="77777777">
      <w:pPr>
        <w:jc w:val="both"/>
        <w:rPr>
          <w:rFonts w:ascii="Roboto" w:hAnsi="Roboto" w:eastAsia="Roboto" w:cs="Roboto"/>
          <w:sz w:val="22"/>
          <w:szCs w:val="22"/>
          <w:highlight w:val="white"/>
        </w:rPr>
      </w:pPr>
    </w:p>
    <w:p w:rsidR="00A22054" w:rsidRDefault="0027148C" w14:paraId="54E1AAD5" w14:textId="77777777">
      <w:pPr>
        <w:jc w:val="both"/>
        <w:rPr>
          <w:rFonts w:ascii="Roboto" w:hAnsi="Roboto" w:eastAsia="Roboto" w:cs="Roboto"/>
          <w:sz w:val="22"/>
          <w:szCs w:val="22"/>
          <w:highlight w:val="white"/>
        </w:rPr>
      </w:pPr>
      <w:r>
        <w:rPr>
          <w:rFonts w:ascii="Roboto" w:hAnsi="Roboto" w:eastAsia="Roboto" w:cs="Roboto"/>
          <w:sz w:val="22"/>
          <w:szCs w:val="22"/>
          <w:highlight w:val="white"/>
        </w:rPr>
        <w:t xml:space="preserve">Por su parte, Beatriz Rivera, directora general de ENAC, ha informado a continuación de la </w:t>
      </w:r>
      <w:r>
        <w:rPr>
          <w:rFonts w:ascii="Roboto" w:hAnsi="Roboto" w:eastAsia="Roboto" w:cs="Roboto"/>
          <w:b/>
          <w:bCs/>
          <w:sz w:val="22"/>
          <w:szCs w:val="22"/>
          <w:highlight w:val="white"/>
        </w:rPr>
        <w:t>evolución positiva del sistema de acreditación español</w:t>
      </w:r>
      <w:r>
        <w:rPr>
          <w:rFonts w:ascii="Roboto" w:hAnsi="Roboto" w:eastAsia="Roboto" w:cs="Roboto"/>
          <w:sz w:val="22"/>
          <w:szCs w:val="22"/>
          <w:highlight w:val="white"/>
        </w:rPr>
        <w:t>, con un crecimiento de la actividad y expansión</w:t>
      </w:r>
      <w:r>
        <w:rPr>
          <w:rFonts w:ascii="Roboto" w:hAnsi="Roboto" w:eastAsia="Roboto" w:cs="Roboto"/>
          <w:sz w:val="22"/>
          <w:szCs w:val="22"/>
          <w:highlight w:val="white"/>
        </w:rPr>
        <w:t xml:space="preserve"> a nuevos ámbitos, </w:t>
      </w:r>
      <w:r>
        <w:rPr>
          <w:rFonts w:ascii="Roboto" w:hAnsi="Roboto" w:eastAsia="Roboto" w:cs="Roboto"/>
          <w:b/>
          <w:bCs/>
          <w:sz w:val="22"/>
          <w:szCs w:val="22"/>
          <w:highlight w:val="white"/>
        </w:rPr>
        <w:t>superando las 2.000 entidades acreditadas y las 2.500 acreditaciones vigentes, lo que supone un incremento cercano al 3% respecto al ejercicio anterior</w:t>
      </w:r>
      <w:r>
        <w:rPr>
          <w:rFonts w:ascii="Roboto" w:hAnsi="Roboto" w:eastAsia="Roboto" w:cs="Roboto"/>
          <w:sz w:val="22"/>
          <w:szCs w:val="22"/>
          <w:highlight w:val="white"/>
        </w:rPr>
        <w:t>.</w:t>
      </w:r>
    </w:p>
    <w:p w:rsidR="00A14DE1" w:rsidRDefault="00A14DE1" w14:paraId="00F6DCCF" w14:textId="77777777">
      <w:pPr>
        <w:spacing w:after="160" w:line="259" w:lineRule="auto"/>
        <w:jc w:val="both"/>
        <w:rPr>
          <w:rFonts w:ascii="Roboto" w:hAnsi="Roboto" w:eastAsia="Roboto" w:cs="Roboto"/>
          <w:sz w:val="22"/>
          <w:szCs w:val="22"/>
        </w:rPr>
      </w:pPr>
    </w:p>
    <w:p w:rsidR="00A22054" w:rsidRDefault="0027148C" w14:paraId="54E1AAD7" w14:textId="69446C2D">
      <w:pPr>
        <w:spacing w:after="160" w:line="259" w:lineRule="auto"/>
        <w:jc w:val="both"/>
        <w:rPr>
          <w:rFonts w:ascii="Roboto" w:hAnsi="Roboto" w:eastAsia="Roboto" w:cs="Roboto"/>
          <w:sz w:val="22"/>
          <w:szCs w:val="22"/>
        </w:rPr>
      </w:pPr>
      <w:r>
        <w:rPr>
          <w:rFonts w:ascii="Roboto" w:hAnsi="Roboto" w:eastAsia="Roboto" w:cs="Roboto"/>
          <w:sz w:val="22"/>
          <w:szCs w:val="22"/>
        </w:rPr>
        <w:t xml:space="preserve">De este modo, 2025 ha finalizado con 1.197 acreditaciones de laboratorios de ensayo, 167 de laboratorios de calibración, 135 de laboratorios clínicos y otros servicios diagnósticos, 528 de entidades de inspección, 256 de entidades de certificación de producto, 136 de certificación de sistemas de gestión, 37 de certificación de personas, </w:t>
      </w:r>
      <w:r>
        <w:rPr>
          <w:rFonts w:ascii="Roboto" w:hAnsi="Roboto" w:eastAsia="Roboto" w:cs="Roboto"/>
          <w:sz w:val="22"/>
          <w:szCs w:val="22"/>
        </w:rPr>
        <w:t>27 de validación y verificación, entre otros. </w:t>
      </w:r>
    </w:p>
    <w:p w:rsidR="00A22054" w:rsidRDefault="0027148C" w14:paraId="54E1AAD8" w14:textId="77777777">
      <w:pPr>
        <w:jc w:val="both"/>
        <w:rPr>
          <w:rFonts w:ascii="Roboto" w:hAnsi="Roboto" w:eastAsia="Roboto" w:cs="Roboto"/>
          <w:sz w:val="22"/>
          <w:szCs w:val="22"/>
          <w:highlight w:val="white"/>
        </w:rPr>
      </w:pPr>
      <w:r>
        <w:rPr>
          <w:rFonts w:ascii="Roboto" w:hAnsi="Roboto" w:eastAsia="Roboto" w:cs="Roboto"/>
          <w:sz w:val="22"/>
          <w:szCs w:val="22"/>
          <w:highlight w:val="white"/>
        </w:rPr>
        <w:t xml:space="preserve">Entre las áreas con mayor crecimiento destaca la actividad de </w:t>
      </w:r>
      <w:r>
        <w:rPr>
          <w:rFonts w:ascii="Roboto" w:hAnsi="Roboto" w:eastAsia="Roboto" w:cs="Roboto"/>
          <w:b/>
          <w:bCs/>
          <w:sz w:val="22"/>
          <w:szCs w:val="22"/>
          <w:highlight w:val="white"/>
        </w:rPr>
        <w:t>validación y verificación, que ha experimentado un aumento superior al 20%</w:t>
      </w:r>
      <w:r>
        <w:rPr>
          <w:rFonts w:ascii="Roboto" w:hAnsi="Roboto" w:eastAsia="Roboto" w:cs="Roboto"/>
          <w:sz w:val="22"/>
          <w:szCs w:val="22"/>
          <w:highlight w:val="white"/>
        </w:rPr>
        <w:t>, impulsada especialmente por desarrollos reglamentarios vinculados a la sostenibilidad, la eficiencia energética y la gestión de fondos públicos. También los p</w:t>
      </w:r>
      <w:r>
        <w:rPr>
          <w:rFonts w:ascii="Roboto" w:hAnsi="Roboto" w:eastAsia="Roboto" w:cs="Roboto"/>
          <w:b/>
          <w:bCs/>
          <w:sz w:val="22"/>
          <w:szCs w:val="22"/>
          <w:highlight w:val="white"/>
        </w:rPr>
        <w:t>roveedores de ensayos de aptitud han registrado un crecimiento cercano al 12%</w:t>
      </w:r>
      <w:r>
        <w:rPr>
          <w:rFonts w:ascii="Roboto" w:hAnsi="Roboto" w:eastAsia="Roboto" w:cs="Roboto"/>
          <w:sz w:val="22"/>
          <w:szCs w:val="22"/>
          <w:highlight w:val="white"/>
        </w:rPr>
        <w:t xml:space="preserve">, mientras que la </w:t>
      </w:r>
      <w:r>
        <w:rPr>
          <w:rFonts w:ascii="Roboto" w:hAnsi="Roboto" w:eastAsia="Roboto" w:cs="Roboto"/>
          <w:b/>
          <w:bCs/>
          <w:sz w:val="22"/>
          <w:szCs w:val="22"/>
          <w:highlight w:val="white"/>
        </w:rPr>
        <w:t>certificación de sistemas de gestión y de personas</w:t>
      </w:r>
      <w:r>
        <w:rPr>
          <w:rFonts w:ascii="Roboto" w:hAnsi="Roboto" w:eastAsia="Roboto" w:cs="Roboto"/>
          <w:sz w:val="22"/>
          <w:szCs w:val="22"/>
          <w:highlight w:val="white"/>
        </w:rPr>
        <w:t xml:space="preserve">, así como los </w:t>
      </w:r>
      <w:r>
        <w:rPr>
          <w:rFonts w:ascii="Roboto" w:hAnsi="Roboto" w:eastAsia="Roboto" w:cs="Roboto"/>
          <w:b/>
          <w:bCs/>
          <w:sz w:val="22"/>
          <w:szCs w:val="22"/>
          <w:highlight w:val="white"/>
        </w:rPr>
        <w:t>laborator</w:t>
      </w:r>
      <w:r>
        <w:rPr>
          <w:rFonts w:ascii="Roboto" w:hAnsi="Roboto" w:eastAsia="Roboto" w:cs="Roboto"/>
          <w:b/>
          <w:bCs/>
          <w:sz w:val="22"/>
          <w:szCs w:val="22"/>
          <w:highlight w:val="white"/>
        </w:rPr>
        <w:t>ios clínicos, han mostrado incrementos próximos al 9%</w:t>
      </w:r>
      <w:r>
        <w:rPr>
          <w:rFonts w:ascii="Roboto" w:hAnsi="Roboto" w:eastAsia="Roboto" w:cs="Roboto"/>
          <w:sz w:val="22"/>
          <w:szCs w:val="22"/>
          <w:highlight w:val="white"/>
        </w:rPr>
        <w:t>.</w:t>
      </w:r>
    </w:p>
    <w:p w:rsidR="00A22054" w:rsidRDefault="00A22054" w14:paraId="54E1AAD9" w14:textId="77777777">
      <w:pPr>
        <w:jc w:val="both"/>
        <w:rPr>
          <w:rFonts w:ascii="Roboto" w:hAnsi="Roboto" w:eastAsia="Roboto" w:cs="Roboto"/>
          <w:color w:val="303030"/>
          <w:highlight w:val="white"/>
        </w:rPr>
      </w:pPr>
    </w:p>
    <w:p w:rsidR="00A22054" w:rsidRDefault="00A22054" w14:paraId="54E1AADA" w14:textId="77777777">
      <w:pPr>
        <w:jc w:val="both"/>
        <w:rPr>
          <w:rFonts w:ascii="Roboto" w:hAnsi="Roboto" w:eastAsia="Roboto" w:cs="Roboto"/>
          <w:color w:val="303030"/>
          <w:highlight w:val="white"/>
        </w:rPr>
      </w:pPr>
    </w:p>
    <w:p w:rsidR="00A22054" w:rsidRDefault="00A22054" w14:paraId="54E1AADB" w14:textId="77777777">
      <w:pPr>
        <w:jc w:val="both"/>
        <w:rPr>
          <w:rFonts w:ascii="Roboto" w:hAnsi="Roboto" w:eastAsia="Roboto" w:cs="Roboto"/>
          <w:color w:val="303030"/>
          <w:highlight w:val="white"/>
        </w:rPr>
      </w:pPr>
    </w:p>
    <w:p w:rsidR="00A22054" w:rsidRDefault="00A22054" w14:paraId="54E1AADC" w14:textId="77777777">
      <w:pPr>
        <w:jc w:val="both"/>
        <w:rPr>
          <w:rFonts w:ascii="Roboto" w:hAnsi="Roboto" w:eastAsia="Roboto" w:cs="Roboto"/>
          <w:color w:val="303030"/>
          <w:highlight w:val="white"/>
        </w:rPr>
      </w:pPr>
    </w:p>
    <w:p w:rsidR="00A22054" w:rsidRDefault="00A22054" w14:paraId="54E1AADD" w14:textId="77777777">
      <w:pPr>
        <w:jc w:val="both"/>
        <w:rPr>
          <w:rFonts w:ascii="Roboto" w:hAnsi="Roboto" w:eastAsia="Roboto" w:cs="Roboto"/>
          <w:color w:val="303030"/>
          <w:highlight w:val="white"/>
        </w:rPr>
      </w:pPr>
    </w:p>
    <w:p w:rsidR="00A22054" w:rsidRDefault="00A22054" w14:paraId="54E1AADE" w14:textId="77777777">
      <w:pPr>
        <w:jc w:val="both"/>
        <w:rPr>
          <w:rFonts w:ascii="Roboto" w:hAnsi="Roboto" w:eastAsia="Roboto" w:cs="Roboto"/>
          <w:color w:val="303030"/>
          <w:highlight w:val="white"/>
        </w:rPr>
      </w:pPr>
    </w:p>
    <w:p w:rsidR="00A22054" w:rsidRDefault="0027148C" w14:paraId="54E1AADF" w14:textId="77777777">
      <w:pPr>
        <w:jc w:val="both"/>
        <w:rPr>
          <w:rFonts w:ascii="Roboto" w:hAnsi="Roboto" w:eastAsia="Roboto" w:cs="Roboto"/>
          <w:sz w:val="22"/>
          <w:szCs w:val="22"/>
          <w:highlight w:val="white"/>
        </w:rPr>
      </w:pPr>
      <w:r>
        <w:rPr>
          <w:rFonts w:ascii="Roboto" w:hAnsi="Roboto" w:eastAsia="Roboto" w:cs="Roboto"/>
          <w:sz w:val="22"/>
          <w:szCs w:val="22"/>
          <w:highlight w:val="white"/>
        </w:rPr>
        <w:t xml:space="preserve">Sobre la expansión progresiva de la acreditación hacia nuevos ámbitos tecnológicos y científicos, Rivera ha señalado que, </w:t>
      </w:r>
      <w:r>
        <w:rPr>
          <w:rFonts w:ascii="Roboto" w:hAnsi="Roboto" w:eastAsia="Roboto" w:cs="Roboto"/>
          <w:sz w:val="22"/>
          <w:szCs w:val="22"/>
        </w:rPr>
        <w:t xml:space="preserve">junto a sectores tradicionales como el industrial, agroalimentario o medioambiental, se incorporan nuevas actividades como </w:t>
      </w:r>
      <w:r>
        <w:rPr>
          <w:rFonts w:ascii="Roboto" w:hAnsi="Roboto" w:eastAsia="Roboto" w:cs="Roboto"/>
          <w:b/>
          <w:bCs/>
          <w:sz w:val="22"/>
          <w:szCs w:val="22"/>
        </w:rPr>
        <w:t xml:space="preserve">la toma de muestras de ADN ambiental en ecosistemas acuáticos, técnicas avanzadas de detección de alérgenos o ensayos de rendimiento de baterías para vehículos eléctricos; al tiempo que continúan creciendo </w:t>
      </w:r>
      <w:r>
        <w:rPr>
          <w:rFonts w:ascii="Roboto" w:hAnsi="Roboto" w:eastAsia="Roboto" w:cs="Roboto"/>
          <w:b/>
          <w:bCs/>
          <w:sz w:val="22"/>
          <w:szCs w:val="22"/>
        </w:rPr>
        <w:t>áreas emergentes vinculadas a la transformación digital y la sostenibilidad, como la certificación de productos TIC</w:t>
      </w:r>
      <w:r>
        <w:rPr>
          <w:rFonts w:ascii="Roboto" w:hAnsi="Roboto" w:eastAsia="Roboto" w:cs="Roboto"/>
          <w:sz w:val="22"/>
          <w:szCs w:val="22"/>
        </w:rPr>
        <w:t xml:space="preserve"> en el marco del esquema europeo EUCC, la accesibilidad digital, la privacidad de la información o la edificación sostenible en el ámbito de la Taxonomía de la UE</w:t>
      </w:r>
      <w:r>
        <w:rPr>
          <w:rFonts w:ascii="Roboto" w:hAnsi="Roboto" w:eastAsia="Roboto" w:cs="Roboto"/>
          <w:sz w:val="22"/>
          <w:szCs w:val="22"/>
          <w:highlight w:val="white"/>
        </w:rPr>
        <w:t>”.</w:t>
      </w:r>
    </w:p>
    <w:p w:rsidR="00A22054" w:rsidRDefault="00A22054" w14:paraId="54E1AAE0" w14:textId="77777777">
      <w:pPr>
        <w:jc w:val="both"/>
        <w:rPr>
          <w:rFonts w:ascii="Roboto" w:hAnsi="Roboto" w:eastAsia="Roboto" w:cs="Roboto"/>
          <w:sz w:val="22"/>
          <w:szCs w:val="22"/>
          <w:highlight w:val="white"/>
        </w:rPr>
      </w:pPr>
    </w:p>
    <w:p w:rsidR="00A22054" w:rsidRDefault="0027148C" w14:paraId="54E1AAE1" w14:textId="77777777">
      <w:pPr>
        <w:jc w:val="both"/>
        <w:rPr>
          <w:rFonts w:ascii="Roboto" w:hAnsi="Roboto" w:eastAsia="Roboto" w:cs="Roboto"/>
          <w:sz w:val="22"/>
          <w:szCs w:val="22"/>
          <w:highlight w:val="white"/>
        </w:rPr>
      </w:pPr>
      <w:r>
        <w:rPr>
          <w:rFonts w:ascii="Roboto" w:hAnsi="Roboto" w:eastAsia="Roboto" w:cs="Roboto"/>
          <w:b/>
          <w:bCs/>
          <w:sz w:val="22"/>
          <w:szCs w:val="22"/>
          <w:highlight w:val="white"/>
        </w:rPr>
        <w:t>La acreditación, una herramienta al servicio del regulador</w:t>
      </w:r>
    </w:p>
    <w:p w:rsidR="00A22054" w:rsidRDefault="00A22054" w14:paraId="54E1AAE2" w14:textId="77777777">
      <w:pPr>
        <w:jc w:val="both"/>
        <w:rPr>
          <w:rFonts w:ascii="Roboto" w:hAnsi="Roboto" w:eastAsia="Roboto" w:cs="Roboto"/>
          <w:color w:val="303030"/>
          <w:highlight w:val="white"/>
        </w:rPr>
      </w:pPr>
    </w:p>
    <w:p w:rsidR="00A22054" w:rsidRDefault="0027148C" w14:paraId="54E1AAE3" w14:textId="77777777">
      <w:pPr>
        <w:jc w:val="both"/>
        <w:rPr>
          <w:rFonts w:ascii="Roboto" w:hAnsi="Roboto" w:eastAsia="Roboto" w:cs="Roboto"/>
          <w:sz w:val="22"/>
          <w:szCs w:val="22"/>
        </w:rPr>
      </w:pPr>
      <w:r>
        <w:rPr>
          <w:rFonts w:ascii="Roboto" w:hAnsi="Roboto" w:eastAsia="Roboto" w:cs="Roboto"/>
          <w:sz w:val="22"/>
          <w:szCs w:val="22"/>
          <w:highlight w:val="white"/>
        </w:rPr>
        <w:t>En este marco, José Manuel Prieto ha subrayado que “</w:t>
      </w:r>
      <w:r>
        <w:rPr>
          <w:rFonts w:ascii="Roboto" w:hAnsi="Roboto" w:eastAsia="Roboto" w:cs="Roboto"/>
          <w:sz w:val="22"/>
          <w:szCs w:val="22"/>
        </w:rPr>
        <w:t xml:space="preserve">se continúa observando una </w:t>
      </w:r>
      <w:r>
        <w:rPr>
          <w:rFonts w:ascii="Roboto" w:hAnsi="Roboto" w:eastAsia="Roboto" w:cs="Roboto"/>
          <w:b/>
          <w:bCs/>
          <w:sz w:val="22"/>
          <w:szCs w:val="22"/>
        </w:rPr>
        <w:t>creciente integración de la acreditación en los desarrollos regulatorios europeos y nacional</w:t>
      </w:r>
      <w:r>
        <w:rPr>
          <w:rFonts w:ascii="Roboto" w:hAnsi="Roboto" w:eastAsia="Roboto" w:cs="Roboto"/>
          <w:b/>
          <w:bCs/>
          <w:sz w:val="22"/>
          <w:szCs w:val="22"/>
        </w:rPr>
        <w:t>es, con cerca de 400 disposiciones</w:t>
      </w:r>
      <w:r>
        <w:rPr>
          <w:rFonts w:ascii="Roboto" w:hAnsi="Roboto" w:eastAsia="Roboto" w:cs="Roboto"/>
          <w:sz w:val="22"/>
          <w:szCs w:val="22"/>
        </w:rPr>
        <w:t xml:space="preserve"> que incorporan requisitos de acreditación como mecanismo para garantizar la competencia técnica, optimizar recursos públicos y apoyar los procesos de simplificación administrativa”.</w:t>
      </w:r>
    </w:p>
    <w:p w:rsidR="00A22054" w:rsidRDefault="00A22054" w14:paraId="54E1AAE4" w14:textId="77777777">
      <w:pPr>
        <w:jc w:val="both"/>
        <w:rPr>
          <w:rFonts w:ascii="Roboto" w:hAnsi="Roboto" w:eastAsia="Roboto" w:cs="Roboto"/>
          <w:sz w:val="22"/>
          <w:szCs w:val="22"/>
          <w:highlight w:val="white"/>
        </w:rPr>
      </w:pPr>
    </w:p>
    <w:p w:rsidR="00A22054" w:rsidRDefault="0027148C" w14:paraId="54E1AAE5" w14:textId="77777777">
      <w:pPr>
        <w:jc w:val="both"/>
        <w:rPr>
          <w:rFonts w:ascii="Roboto" w:hAnsi="Roboto" w:eastAsia="Roboto" w:cs="Roboto"/>
          <w:sz w:val="22"/>
          <w:szCs w:val="22"/>
        </w:rPr>
      </w:pPr>
      <w:r>
        <w:rPr>
          <w:rFonts w:ascii="Roboto" w:hAnsi="Roboto" w:eastAsia="Roboto" w:cs="Roboto"/>
          <w:sz w:val="22"/>
          <w:szCs w:val="22"/>
          <w:highlight w:val="white"/>
        </w:rPr>
        <w:t xml:space="preserve">Por su parte, Beatriz Rivera ha recalcado que </w:t>
      </w:r>
      <w:r>
        <w:rPr>
          <w:rFonts w:ascii="Roboto" w:hAnsi="Roboto" w:eastAsia="Roboto" w:cs="Roboto"/>
          <w:sz w:val="22"/>
          <w:szCs w:val="22"/>
        </w:rPr>
        <w:t>la colaboración de ENAC con las administraciones públicas, tanto a nivel europeo como nacional, autonómico y local, ha continuado siendo un elemento central de la actividad:  “A lo largo del año, hemos trabajado estrechamente con distintos minister</w:t>
      </w:r>
      <w:r>
        <w:rPr>
          <w:rFonts w:ascii="Roboto" w:hAnsi="Roboto" w:eastAsia="Roboto" w:cs="Roboto"/>
          <w:sz w:val="22"/>
          <w:szCs w:val="22"/>
        </w:rPr>
        <w:t>ios, como Industria y Turismo; Agricultura, Pesca y Alimentación; Transición Ecológica y Reto Demográfico; Defensa o Sanidad, así como con organismos como el Centro Criptológico Nacional (CCN-CERT), el Centro para el Desarrollo Tecnológico y la Innovación (CDTI), la Agencia Española de Medicamentos y Productos Sanitarios (AEMPS), la Agencia Española de Protección de Datos (AEPD), la Agencia Estatal de Seguridad Ferroviaria (AESF) o la Agencia Estatal de Administración Tributaria (AEAT), entre otros. Asimism</w:t>
      </w:r>
      <w:r>
        <w:rPr>
          <w:rFonts w:ascii="Roboto" w:hAnsi="Roboto" w:eastAsia="Roboto" w:cs="Roboto"/>
          <w:sz w:val="22"/>
          <w:szCs w:val="22"/>
        </w:rPr>
        <w:t xml:space="preserve">o, se ha reforzado la cooperación con las Comunidades Autónomas y entidades locales, favoreciendo una aplicación homogénea de los requisitos y apoyando la eficacia de las políticas públicas”. </w:t>
      </w:r>
    </w:p>
    <w:p w:rsidR="00A22054" w:rsidRDefault="00A22054" w14:paraId="54E1AAE6" w14:textId="77777777">
      <w:pPr>
        <w:jc w:val="both"/>
        <w:rPr>
          <w:rFonts w:ascii="Roboto" w:hAnsi="Roboto" w:eastAsia="Roboto" w:cs="Roboto"/>
          <w:sz w:val="22"/>
          <w:szCs w:val="22"/>
        </w:rPr>
      </w:pPr>
    </w:p>
    <w:p w:rsidR="00A22054" w:rsidRDefault="0027148C" w14:paraId="54E1AAE7" w14:textId="77777777">
      <w:pPr>
        <w:spacing w:after="160" w:line="259" w:lineRule="auto"/>
        <w:jc w:val="both"/>
        <w:rPr>
          <w:rFonts w:ascii="Roboto" w:hAnsi="Roboto" w:eastAsia="Roboto" w:cs="Roboto"/>
          <w:sz w:val="22"/>
          <w:szCs w:val="22"/>
        </w:rPr>
      </w:pPr>
      <w:r>
        <w:rPr>
          <w:rFonts w:ascii="Roboto" w:hAnsi="Roboto" w:eastAsia="Roboto" w:cs="Roboto"/>
          <w:sz w:val="22"/>
          <w:szCs w:val="22"/>
        </w:rPr>
        <w:t xml:space="preserve">La creciente apuesta internacional por la simplificación administrativa y la mejora de la calidad regulatoria ha puesto de relieve el valor de la acreditación como herramienta de apoyo a las Administraciones Públicas. “Así lo reflejan los informes publicados en 2025 </w:t>
      </w:r>
      <w:hyperlink w:anchor="page=33" r:id="rId13">
        <w:r w:rsidR="00A22054">
          <w:rPr>
            <w:rFonts w:ascii="Roboto" w:hAnsi="Roboto" w:eastAsia="Roboto" w:cs="Roboto"/>
            <w:color w:val="0563C1"/>
            <w:sz w:val="22"/>
            <w:szCs w:val="22"/>
            <w:u w:val="single"/>
          </w:rPr>
          <w:t>por la OCDE</w:t>
        </w:r>
      </w:hyperlink>
      <w:r>
        <w:rPr>
          <w:rFonts w:ascii="Roboto" w:hAnsi="Roboto" w:eastAsia="Roboto" w:cs="Roboto"/>
          <w:sz w:val="22"/>
          <w:szCs w:val="22"/>
        </w:rPr>
        <w:t xml:space="preserve"> y el </w:t>
      </w:r>
      <w:hyperlink w:anchor="page=32" r:id="rId14">
        <w:r w:rsidR="00A22054">
          <w:rPr>
            <w:rFonts w:ascii="Roboto" w:hAnsi="Roboto" w:eastAsia="Roboto" w:cs="Roboto"/>
            <w:color w:val="0563C1"/>
            <w:sz w:val="22"/>
            <w:szCs w:val="22"/>
            <w:u w:val="single"/>
          </w:rPr>
          <w:t>Banco Mundial</w:t>
        </w:r>
      </w:hyperlink>
      <w:r>
        <w:rPr>
          <w:rFonts w:ascii="Roboto" w:hAnsi="Roboto" w:eastAsia="Roboto" w:cs="Roboto"/>
          <w:sz w:val="22"/>
          <w:szCs w:val="22"/>
        </w:rPr>
        <w:t xml:space="preserve"> y de los que se hace eco la memoria de ENAC, que destacan su contribución a la reducción de cargas administrativas, la eliminación de duplicidades y la mejora de la eficiencia regulatoria. Estas recomendaciones coinciden plenamente co</w:t>
      </w:r>
      <w:r>
        <w:rPr>
          <w:rFonts w:ascii="Roboto" w:hAnsi="Roboto" w:eastAsia="Roboto" w:cs="Roboto"/>
          <w:sz w:val="22"/>
          <w:szCs w:val="22"/>
        </w:rPr>
        <w:t>n la visión impulsada por la Comisión Europea, que identifica la simplificación administrativa como una prioridad para reforzar la competitividad europea”, ha señalado la directora general de ENAC.</w:t>
      </w:r>
    </w:p>
    <w:p w:rsidR="00A22054" w:rsidRDefault="0027148C" w14:paraId="54E1AAE8" w14:textId="77777777">
      <w:pPr>
        <w:spacing w:after="160" w:line="259" w:lineRule="auto"/>
        <w:jc w:val="both"/>
        <w:rPr>
          <w:rFonts w:ascii="Roboto" w:hAnsi="Roboto" w:eastAsia="Roboto" w:cs="Roboto"/>
          <w:sz w:val="22"/>
          <w:szCs w:val="22"/>
        </w:rPr>
      </w:pPr>
      <w:r>
        <w:rPr>
          <w:rFonts w:ascii="Roboto" w:hAnsi="Roboto" w:eastAsia="Roboto" w:cs="Roboto"/>
          <w:sz w:val="22"/>
          <w:szCs w:val="22"/>
        </w:rPr>
        <w:t xml:space="preserve">En este contexto, ENAC ha elaborado </w:t>
      </w:r>
      <w:hyperlink r:id="rId15">
        <w:r w:rsidR="00A22054">
          <w:rPr>
            <w:rFonts w:ascii="Roboto" w:hAnsi="Roboto" w:eastAsia="Roboto" w:cs="Roboto"/>
            <w:color w:val="0563C1"/>
            <w:sz w:val="22"/>
            <w:szCs w:val="22"/>
            <w:u w:val="single"/>
          </w:rPr>
          <w:t>un documento dirigido a las Administraciones Públicas</w:t>
        </w:r>
      </w:hyperlink>
      <w:r>
        <w:rPr>
          <w:rFonts w:ascii="Roboto" w:hAnsi="Roboto" w:eastAsia="Roboto" w:cs="Roboto"/>
          <w:sz w:val="22"/>
          <w:szCs w:val="22"/>
        </w:rPr>
        <w:t xml:space="preserve"> en el que muestra cómo la acreditación puede contribuir a optimizar recursos y mejorar la eficaci</w:t>
      </w:r>
      <w:r>
        <w:rPr>
          <w:rFonts w:ascii="Roboto" w:hAnsi="Roboto" w:eastAsia="Roboto" w:cs="Roboto"/>
          <w:sz w:val="22"/>
          <w:szCs w:val="22"/>
        </w:rPr>
        <w:t>a de las actividades de evaluación y control al servicio de las políticas públicas.</w:t>
      </w:r>
    </w:p>
    <w:p w:rsidR="00A22054" w:rsidRDefault="00A22054" w14:paraId="54E1AAE9" w14:textId="77777777">
      <w:pPr>
        <w:jc w:val="both"/>
        <w:rPr>
          <w:rFonts w:ascii="Roboto" w:hAnsi="Roboto" w:eastAsia="Roboto" w:cs="Roboto"/>
          <w:sz w:val="22"/>
          <w:szCs w:val="22"/>
          <w:highlight w:val="white"/>
        </w:rPr>
      </w:pPr>
    </w:p>
    <w:p w:rsidR="00A22054" w:rsidRDefault="0027148C" w14:paraId="54E1AAEA" w14:textId="77777777">
      <w:pPr>
        <w:jc w:val="both"/>
        <w:rPr>
          <w:rFonts w:ascii="Roboto" w:hAnsi="Roboto" w:eastAsia="Roboto" w:cs="Roboto"/>
          <w:sz w:val="22"/>
          <w:szCs w:val="22"/>
          <w:highlight w:val="white"/>
        </w:rPr>
      </w:pPr>
      <w:r>
        <w:rPr>
          <w:rFonts w:ascii="Roboto" w:hAnsi="Roboto" w:eastAsia="Roboto" w:cs="Roboto"/>
          <w:b/>
          <w:bCs/>
          <w:sz w:val="22"/>
          <w:szCs w:val="22"/>
          <w:highlight w:val="white"/>
        </w:rPr>
        <w:t>Transformación del sistema internacional de acreditación</w:t>
      </w:r>
    </w:p>
    <w:p w:rsidR="00A22054" w:rsidRDefault="00A22054" w14:paraId="54E1AAEB" w14:textId="77777777">
      <w:pPr>
        <w:jc w:val="both"/>
        <w:rPr>
          <w:rFonts w:ascii="Roboto" w:hAnsi="Roboto" w:eastAsia="Roboto" w:cs="Roboto"/>
          <w:sz w:val="22"/>
          <w:szCs w:val="22"/>
          <w:highlight w:val="white"/>
        </w:rPr>
      </w:pPr>
    </w:p>
    <w:p w:rsidR="00A22054" w:rsidP="6034A0A7" w:rsidRDefault="0027148C" w14:paraId="54E1AAEC" w14:textId="77777777">
      <w:pPr>
        <w:spacing w:after="160" w:line="259" w:lineRule="auto"/>
        <w:jc w:val="both"/>
        <w:rPr>
          <w:rFonts w:ascii="Roboto" w:hAnsi="Roboto" w:eastAsia="Roboto" w:cs="Roboto"/>
          <w:sz w:val="22"/>
          <w:szCs w:val="22"/>
          <w:lang w:val="es-ES"/>
        </w:rPr>
      </w:pPr>
      <w:r w:rsidRPr="6034A0A7" w:rsidR="0027148C">
        <w:rPr>
          <w:rFonts w:ascii="Roboto" w:hAnsi="Roboto" w:eastAsia="Roboto" w:cs="Roboto"/>
          <w:sz w:val="22"/>
          <w:szCs w:val="22"/>
          <w:lang w:val="es-ES"/>
        </w:rPr>
        <w:t xml:space="preserve">Otro de los hitos destacados del ejercicio a nivel internacional ha sido </w:t>
      </w:r>
      <w:r w:rsidRPr="6034A0A7" w:rsidR="0027148C">
        <w:rPr>
          <w:rFonts w:ascii="Roboto" w:hAnsi="Roboto" w:eastAsia="Roboto" w:cs="Roboto"/>
          <w:b w:val="1"/>
          <w:bCs w:val="1"/>
          <w:sz w:val="22"/>
          <w:szCs w:val="22"/>
          <w:lang w:val="es-ES"/>
        </w:rPr>
        <w:t xml:space="preserve">la puesta en marcha de la nueva organización Global </w:t>
      </w:r>
      <w:r w:rsidRPr="6034A0A7" w:rsidR="0027148C">
        <w:rPr>
          <w:rFonts w:ascii="Roboto" w:hAnsi="Roboto" w:eastAsia="Roboto" w:cs="Roboto"/>
          <w:b w:val="1"/>
          <w:bCs w:val="1"/>
          <w:sz w:val="22"/>
          <w:szCs w:val="22"/>
          <w:lang w:val="es-ES"/>
        </w:rPr>
        <w:t>Accreditation</w:t>
      </w:r>
      <w:r w:rsidRPr="6034A0A7" w:rsidR="0027148C">
        <w:rPr>
          <w:rFonts w:ascii="Roboto" w:hAnsi="Roboto" w:eastAsia="Roboto" w:cs="Roboto"/>
          <w:b w:val="1"/>
          <w:bCs w:val="1"/>
          <w:sz w:val="22"/>
          <w:szCs w:val="22"/>
          <w:lang w:val="es-ES"/>
        </w:rPr>
        <w:t xml:space="preserve"> </w:t>
      </w:r>
      <w:r w:rsidRPr="6034A0A7" w:rsidR="0027148C">
        <w:rPr>
          <w:rFonts w:ascii="Roboto" w:hAnsi="Roboto" w:eastAsia="Roboto" w:cs="Roboto"/>
          <w:b w:val="1"/>
          <w:bCs w:val="1"/>
          <w:sz w:val="22"/>
          <w:szCs w:val="22"/>
          <w:lang w:val="es-ES"/>
        </w:rPr>
        <w:t>Cooperation</w:t>
      </w:r>
      <w:r w:rsidRPr="6034A0A7" w:rsidR="0027148C">
        <w:rPr>
          <w:rFonts w:ascii="Roboto" w:hAnsi="Roboto" w:eastAsia="Roboto" w:cs="Roboto"/>
          <w:b w:val="1"/>
          <w:bCs w:val="1"/>
          <w:sz w:val="22"/>
          <w:szCs w:val="22"/>
          <w:lang w:val="es-ES"/>
        </w:rPr>
        <w:t xml:space="preserve"> </w:t>
      </w:r>
      <w:r w:rsidRPr="6034A0A7" w:rsidR="0027148C">
        <w:rPr>
          <w:rFonts w:ascii="Roboto" w:hAnsi="Roboto" w:eastAsia="Roboto" w:cs="Roboto"/>
          <w:b w:val="1"/>
          <w:bCs w:val="1"/>
          <w:sz w:val="22"/>
          <w:szCs w:val="22"/>
          <w:lang w:val="es-ES"/>
        </w:rPr>
        <w:t>Incorporated</w:t>
      </w:r>
      <w:r w:rsidRPr="6034A0A7" w:rsidR="0027148C">
        <w:rPr>
          <w:rFonts w:ascii="Roboto" w:hAnsi="Roboto" w:eastAsia="Roboto" w:cs="Roboto"/>
          <w:b w:val="1"/>
          <w:bCs w:val="1"/>
          <w:sz w:val="22"/>
          <w:szCs w:val="22"/>
          <w:lang w:val="es-ES"/>
        </w:rPr>
        <w:t xml:space="preserve"> (Global ACI),</w:t>
      </w:r>
      <w:r w:rsidRPr="6034A0A7" w:rsidR="0027148C">
        <w:rPr>
          <w:rFonts w:ascii="Roboto" w:hAnsi="Roboto" w:eastAsia="Roboto" w:cs="Roboto"/>
          <w:sz w:val="22"/>
          <w:szCs w:val="22"/>
          <w:lang w:val="es-ES"/>
        </w:rPr>
        <w:t xml:space="preserve"> que integra las actividades desarrolladas hasta ahora por ILAC e IAF y que marcará la evolución futura del sistema internacional de acreditación.</w:t>
      </w:r>
    </w:p>
    <w:p w:rsidR="00A22054" w:rsidP="6034A0A7" w:rsidRDefault="0027148C" w14:paraId="54E1AAED" w14:textId="77777777">
      <w:pPr>
        <w:spacing w:after="160" w:line="259" w:lineRule="auto"/>
        <w:jc w:val="both"/>
        <w:rPr>
          <w:rFonts w:ascii="Roboto" w:hAnsi="Roboto" w:eastAsia="Roboto" w:cs="Roboto"/>
          <w:sz w:val="22"/>
          <w:szCs w:val="22"/>
          <w:highlight w:val="white"/>
          <w:lang w:val="es-ES"/>
        </w:rPr>
      </w:pPr>
      <w:r w:rsidRPr="6034A0A7" w:rsidR="0027148C">
        <w:rPr>
          <w:rFonts w:ascii="Roboto" w:hAnsi="Roboto" w:eastAsia="Roboto" w:cs="Roboto"/>
          <w:sz w:val="22"/>
          <w:szCs w:val="22"/>
          <w:lang w:val="es-ES"/>
        </w:rPr>
        <w:t>“La publicación de la nueva marca del acuerdo</w:t>
      </w:r>
      <w:r w:rsidRPr="6034A0A7" w:rsidR="0027148C">
        <w:rPr>
          <w:rFonts w:ascii="Roboto" w:hAnsi="Roboto" w:eastAsia="Roboto" w:cs="Roboto"/>
          <w:sz w:val="22"/>
          <w:szCs w:val="22"/>
          <w:lang w:val="es-ES"/>
        </w:rPr>
        <w:t xml:space="preserve"> multilateral de </w:t>
      </w:r>
      <w:r w:rsidRPr="6034A0A7" w:rsidR="0027148C">
        <w:rPr>
          <w:rFonts w:ascii="Roboto" w:hAnsi="Roboto" w:eastAsia="Roboto" w:cs="Roboto"/>
          <w:sz w:val="22"/>
          <w:szCs w:val="22"/>
          <w:lang w:val="es-ES"/>
        </w:rPr>
        <w:t>European</w:t>
      </w:r>
      <w:r w:rsidRPr="6034A0A7" w:rsidR="0027148C">
        <w:rPr>
          <w:rFonts w:ascii="Roboto" w:hAnsi="Roboto" w:eastAsia="Roboto" w:cs="Roboto"/>
          <w:sz w:val="22"/>
          <w:szCs w:val="22"/>
          <w:lang w:val="es-ES"/>
        </w:rPr>
        <w:t xml:space="preserve"> </w:t>
      </w:r>
      <w:r w:rsidRPr="6034A0A7" w:rsidR="0027148C">
        <w:rPr>
          <w:rFonts w:ascii="Roboto" w:hAnsi="Roboto" w:eastAsia="Roboto" w:cs="Roboto"/>
          <w:sz w:val="22"/>
          <w:szCs w:val="22"/>
          <w:lang w:val="es-ES"/>
        </w:rPr>
        <w:t>Accreditation</w:t>
      </w:r>
      <w:r w:rsidRPr="6034A0A7" w:rsidR="0027148C">
        <w:rPr>
          <w:rFonts w:ascii="Roboto" w:hAnsi="Roboto" w:eastAsia="Roboto" w:cs="Roboto"/>
          <w:sz w:val="22"/>
          <w:szCs w:val="22"/>
          <w:lang w:val="es-ES"/>
        </w:rPr>
        <w:t xml:space="preserve"> (EA MLA) contribuirá a reforzar la visibilidad y confianza en los servicios acreditados en el entorno europeo. </w:t>
      </w:r>
      <w:r w:rsidRPr="6034A0A7" w:rsidR="0027148C">
        <w:rPr>
          <w:rFonts w:ascii="Roboto" w:hAnsi="Roboto" w:eastAsia="Roboto" w:cs="Roboto"/>
          <w:b w:val="1"/>
          <w:bCs w:val="1"/>
          <w:sz w:val="22"/>
          <w:szCs w:val="22"/>
          <w:lang w:val="es-ES"/>
        </w:rPr>
        <w:t xml:space="preserve">ENAC mantiene su condición de firmante de todos los acuerdos multilaterales internacionales de reconocimiento, lo que permite que los certificados e informes emitidos por entidades acreditadas sean aceptados en más de 120 economías, </w:t>
      </w:r>
      <w:r w:rsidRPr="6034A0A7" w:rsidR="0027148C">
        <w:rPr>
          <w:rFonts w:ascii="Roboto" w:hAnsi="Roboto" w:eastAsia="Roboto" w:cs="Roboto"/>
          <w:sz w:val="22"/>
          <w:szCs w:val="22"/>
          <w:lang w:val="es-ES"/>
        </w:rPr>
        <w:t>facilitando el acceso de las empresas a mercados internacionales”, ha concluido Beatriz Rivera.</w:t>
      </w:r>
    </w:p>
    <w:p w:rsidR="00A22054" w:rsidRDefault="0027148C" w14:paraId="54E1AAEE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after="160"/>
        <w:jc w:val="both"/>
        <w:rPr>
          <w:rFonts w:ascii="Roboto" w:hAnsi="Roboto" w:eastAsia="Roboto" w:cs="Roboto"/>
          <w:color w:val="E83544"/>
          <w:sz w:val="22"/>
          <w:szCs w:val="22"/>
        </w:rPr>
      </w:pPr>
      <w:r>
        <w:rPr>
          <w:rFonts w:ascii="Roboto" w:hAnsi="Roboto" w:eastAsia="Roboto" w:cs="Roboto"/>
          <w:b/>
          <w:bCs/>
          <w:color w:val="E83544"/>
          <w:sz w:val="22"/>
          <w:szCs w:val="22"/>
        </w:rPr>
        <w:t>Sobre ENAC</w:t>
      </w:r>
      <w:r>
        <w:rPr>
          <w:rFonts w:ascii="Roboto" w:hAnsi="Roboto" w:eastAsia="Roboto" w:cs="Roboto"/>
          <w:color w:val="E83544"/>
          <w:sz w:val="22"/>
          <w:szCs w:val="22"/>
        </w:rPr>
        <w:t xml:space="preserve"> </w:t>
      </w:r>
    </w:p>
    <w:p w:rsidR="00A22054" w:rsidRDefault="0027148C" w14:paraId="54E1AAEF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59" w:lineRule="auto"/>
        <w:jc w:val="both"/>
        <w:rPr>
          <w:rFonts w:ascii="Roboto" w:hAnsi="Roboto" w:eastAsia="Roboto" w:cs="Roboto"/>
          <w:sz w:val="22"/>
          <w:szCs w:val="22"/>
        </w:rPr>
      </w:pPr>
      <w:r>
        <w:rPr>
          <w:rFonts w:ascii="Roboto" w:hAnsi="Roboto" w:eastAsia="Roboto" w:cs="Roboto"/>
          <w:sz w:val="22"/>
          <w:szCs w:val="22"/>
        </w:rPr>
        <w:t xml:space="preserve">La Entidad Nacional </w:t>
      </w:r>
      <w:r>
        <w:rPr>
          <w:rFonts w:ascii="Roboto" w:hAnsi="Roboto" w:eastAsia="Roboto" w:cs="Roboto"/>
          <w:sz w:val="22"/>
          <w:szCs w:val="22"/>
        </w:rPr>
        <w:t xml:space="preserve">de Acreditación – ENAC – es la entidad designada por el Gobierno para operar en España como el único Organismo Nacional de Acreditación, en aplicación del Reglamento (CE) nº765/2008 del Parlamento Europeo que regula el funcionamiento de la acreditación en Europa. </w:t>
      </w:r>
    </w:p>
    <w:p w:rsidR="00A22054" w:rsidRDefault="00A22054" w14:paraId="54E1AAF0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59" w:lineRule="auto"/>
        <w:jc w:val="both"/>
        <w:rPr>
          <w:rFonts w:ascii="Roboto" w:hAnsi="Roboto" w:eastAsia="Roboto" w:cs="Roboto"/>
          <w:sz w:val="22"/>
          <w:szCs w:val="22"/>
        </w:rPr>
      </w:pPr>
    </w:p>
    <w:p w:rsidR="00A22054" w:rsidRDefault="0027148C" w14:paraId="54E1AAF1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59" w:lineRule="auto"/>
        <w:jc w:val="both"/>
        <w:rPr>
          <w:rFonts w:ascii="Roboto" w:hAnsi="Roboto" w:eastAsia="Roboto" w:cs="Roboto"/>
          <w:sz w:val="22"/>
          <w:szCs w:val="22"/>
        </w:rPr>
      </w:pPr>
      <w:r>
        <w:rPr>
          <w:rFonts w:ascii="Roboto" w:hAnsi="Roboto" w:eastAsia="Roboto" w:cs="Roboto"/>
          <w:sz w:val="22"/>
          <w:szCs w:val="22"/>
        </w:rPr>
        <w:t>ENAC tiene como misión generar confianza en el mercado y en la sociedad evaluando, a través de un sistema conforme a normas internacionales, la competencia técnica de laboratorios de ensayo o calibración, entidades de inspección, entidades de cer</w:t>
      </w:r>
      <w:r>
        <w:rPr>
          <w:rFonts w:ascii="Roboto" w:hAnsi="Roboto" w:eastAsia="Roboto" w:cs="Roboto"/>
          <w:sz w:val="22"/>
          <w:szCs w:val="22"/>
        </w:rPr>
        <w:t>tificación y verificadores medioambientales que desarrollen su actividad en cualquier sector: industria,  energía, medio ambiente, sanidad, alimentación, investigación, desarrollo e innovación, transportes, telecomunicaciones, turismo, servicios, construcción, etc. </w:t>
      </w:r>
      <w:r>
        <w:rPr>
          <w:rFonts w:ascii="Roboto" w:hAnsi="Roboto" w:eastAsia="Roboto" w:cs="Roboto"/>
          <w:sz w:val="22"/>
          <w:szCs w:val="22"/>
        </w:rPr>
        <w:t xml:space="preserve">Contribuye, así, a la seguridad y el bienestar de las personas, la calidad de los productos y servicios, la protección del medioambiente y, con ello, al aumento de la competitividad de los productos y servicios españoles y a una disminución de los costes para la sociedad debidos a estas actividades.  </w:t>
      </w:r>
    </w:p>
    <w:p w:rsidR="00A22054" w:rsidRDefault="00A22054" w14:paraId="54E1AAF2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59" w:lineRule="auto"/>
        <w:jc w:val="both"/>
        <w:rPr>
          <w:rFonts w:ascii="Roboto" w:hAnsi="Roboto" w:eastAsia="Roboto" w:cs="Roboto"/>
          <w:sz w:val="22"/>
          <w:szCs w:val="22"/>
        </w:rPr>
      </w:pPr>
    </w:p>
    <w:p w:rsidR="00A22054" w:rsidRDefault="0027148C" w14:paraId="54E1AAF3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59" w:lineRule="auto"/>
        <w:jc w:val="both"/>
        <w:rPr>
          <w:rFonts w:ascii="Roboto" w:hAnsi="Roboto" w:eastAsia="Roboto" w:cs="Roboto"/>
          <w:sz w:val="22"/>
          <w:szCs w:val="22"/>
        </w:rPr>
      </w:pPr>
      <w:r>
        <w:rPr>
          <w:rFonts w:ascii="Roboto" w:hAnsi="Roboto" w:eastAsia="Roboto" w:cs="Roboto"/>
          <w:sz w:val="22"/>
          <w:szCs w:val="22"/>
        </w:rPr>
        <w:t>La marca ENAC es la manera de distinguir si un certificado o informe está acreditado o no. Aporta confianza en que la organización que lo emite es técnicamente competente para llevar a cabo la tarea que reali</w:t>
      </w:r>
      <w:r>
        <w:rPr>
          <w:rFonts w:ascii="Roboto" w:hAnsi="Roboto" w:eastAsia="Roboto" w:cs="Roboto"/>
          <w:sz w:val="22"/>
          <w:szCs w:val="22"/>
        </w:rPr>
        <w:t xml:space="preserve">za, y lo es tanto en España como en los 120 países en los que la marca de ENAC es reconocida y aceptada gracias a los acuerdos de reconocimiento que ENAC ha suscrito con las entidades de acreditación de esos países. </w:t>
      </w:r>
    </w:p>
    <w:p w:rsidR="00A22054" w:rsidRDefault="00A22054" w14:paraId="54E1AAF4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59" w:lineRule="auto"/>
        <w:jc w:val="both"/>
        <w:rPr>
          <w:rFonts w:ascii="Roboto" w:hAnsi="Roboto" w:eastAsia="Roboto" w:cs="Roboto"/>
          <w:sz w:val="22"/>
          <w:szCs w:val="22"/>
        </w:rPr>
      </w:pPr>
    </w:p>
    <w:p w:rsidR="00A22054" w:rsidRDefault="00A22054" w14:paraId="54E1AAF5" w14:textId="77777777">
      <w:pPr>
        <w:jc w:val="both"/>
        <w:rPr>
          <w:rFonts w:ascii="Roboto" w:hAnsi="Roboto" w:eastAsia="Roboto" w:cs="Roboto"/>
          <w:sz w:val="22"/>
          <w:szCs w:val="22"/>
        </w:rPr>
      </w:pPr>
    </w:p>
    <w:p w:rsidR="00A22054" w:rsidRDefault="00A22054" w14:paraId="54E1AAF6" w14:textId="77777777">
      <w:pPr>
        <w:pBdr>
          <w:bottom w:val="single" w:color="000000" w:sz="12" w:space="1"/>
        </w:pBdr>
        <w:jc w:val="both"/>
        <w:rPr>
          <w:rFonts w:ascii="Roboto" w:hAnsi="Roboto" w:eastAsia="Roboto" w:cs="Roboto"/>
          <w:color w:val="E83544"/>
          <w:sz w:val="22"/>
          <w:szCs w:val="22"/>
        </w:rPr>
      </w:pPr>
      <w:hyperlink r:id="rId16">
        <w:r>
          <w:rPr>
            <w:rFonts w:ascii="Roboto" w:hAnsi="Roboto" w:eastAsia="Roboto" w:cs="Roboto"/>
            <w:color w:val="E83544"/>
            <w:sz w:val="22"/>
            <w:szCs w:val="22"/>
            <w:u w:val="single"/>
          </w:rPr>
          <w:t>www.enac.es</w:t>
        </w:r>
      </w:hyperlink>
      <w:r w:rsidR="0027148C">
        <w:rPr>
          <w:rFonts w:ascii="Roboto" w:hAnsi="Roboto" w:eastAsia="Roboto" w:cs="Roboto"/>
          <w:color w:val="E83544"/>
          <w:sz w:val="22"/>
          <w:szCs w:val="22"/>
        </w:rPr>
        <w:t xml:space="preserve"> </w:t>
      </w:r>
    </w:p>
    <w:p w:rsidR="00A22054" w:rsidRDefault="00A22054" w14:paraId="54E1AAF7" w14:textId="77777777">
      <w:pPr>
        <w:pBdr>
          <w:bottom w:val="single" w:color="000000" w:sz="12" w:space="1"/>
        </w:pBdr>
        <w:jc w:val="both"/>
        <w:rPr>
          <w:rFonts w:ascii="Roboto" w:hAnsi="Roboto" w:eastAsia="Roboto" w:cs="Roboto"/>
          <w:color w:val="E83544"/>
          <w:sz w:val="22"/>
          <w:szCs w:val="22"/>
        </w:rPr>
      </w:pPr>
    </w:p>
    <w:p w:rsidR="00A22054" w:rsidRDefault="0027148C" w14:paraId="54E1AAF8" w14:textId="77777777">
      <w:pPr>
        <w:pBdr>
          <w:bottom w:val="single" w:color="000000" w:sz="12" w:space="1"/>
        </w:pBdr>
        <w:jc w:val="both"/>
        <w:rPr>
          <w:rFonts w:ascii="Roboto" w:hAnsi="Roboto" w:eastAsia="Roboto" w:cs="Roboto"/>
          <w:sz w:val="22"/>
          <w:szCs w:val="22"/>
        </w:rPr>
      </w:pPr>
      <w:r>
        <w:rPr>
          <w:rFonts w:ascii="Roboto" w:hAnsi="Roboto" w:eastAsia="Roboto" w:cs="Roboto"/>
          <w:color w:val="0000FF"/>
          <w:sz w:val="22"/>
          <w:szCs w:val="22"/>
        </w:rPr>
        <w:t xml:space="preserve">  </w:t>
      </w:r>
      <w:r>
        <w:rPr>
          <w:rFonts w:ascii="Roboto" w:hAnsi="Roboto" w:eastAsia="Roboto" w:cs="Roboto"/>
          <w:noProof/>
          <w:color w:val="0000FF"/>
          <w:sz w:val="22"/>
          <w:szCs w:val="22"/>
        </w:rPr>
        <w:drawing>
          <wp:inline distT="0" distB="0" distL="0" distR="0" wp14:anchorId="54E1AB01" wp14:editId="54E1AB02">
            <wp:extent cx="304800" cy="3048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22054" w:rsidRDefault="00A22054" w14:paraId="54E1AAF9" w14:textId="77777777">
      <w:pPr>
        <w:pBdr>
          <w:bottom w:val="single" w:color="000000" w:sz="12" w:space="1"/>
        </w:pBdr>
        <w:jc w:val="both"/>
        <w:rPr>
          <w:rFonts w:ascii="Roboto" w:hAnsi="Roboto" w:eastAsia="Roboto" w:cs="Roboto"/>
          <w:color w:val="E83544"/>
          <w:sz w:val="22"/>
          <w:szCs w:val="22"/>
        </w:rPr>
      </w:pPr>
    </w:p>
    <w:p w:rsidR="00A22054" w:rsidRDefault="00A22054" w14:paraId="54E1AAFA" w14:textId="77777777">
      <w:pPr>
        <w:jc w:val="both"/>
        <w:rPr>
          <w:rFonts w:ascii="Roboto" w:hAnsi="Roboto" w:eastAsia="Roboto" w:cs="Roboto"/>
          <w:color w:val="E83544"/>
          <w:sz w:val="22"/>
          <w:szCs w:val="22"/>
        </w:rPr>
      </w:pPr>
    </w:p>
    <w:p w:rsidR="00A22054" w:rsidRDefault="00A22054" w14:paraId="54E1AAFB" w14:textId="77777777">
      <w:pPr>
        <w:jc w:val="both"/>
        <w:rPr>
          <w:rFonts w:ascii="Roboto" w:hAnsi="Roboto" w:eastAsia="Roboto" w:cs="Roboto"/>
          <w:sz w:val="22"/>
          <w:szCs w:val="22"/>
        </w:rPr>
      </w:pPr>
    </w:p>
    <w:p w:rsidR="00A22054" w:rsidRDefault="0027148C" w14:paraId="54E1AAFC" w14:textId="77777777">
      <w:pPr>
        <w:jc w:val="both"/>
        <w:rPr>
          <w:rFonts w:ascii="Roboto" w:hAnsi="Roboto" w:eastAsia="Roboto" w:cs="Roboto"/>
          <w:sz w:val="22"/>
          <w:szCs w:val="22"/>
        </w:rPr>
      </w:pPr>
      <w:r>
        <w:rPr>
          <w:rFonts w:ascii="Roboto" w:hAnsi="Roboto" w:eastAsia="Roboto" w:cs="Roboto"/>
          <w:sz w:val="22"/>
          <w:szCs w:val="22"/>
        </w:rPr>
        <w:t>Para más información sobre la nota de prensa, resolver dudas o gestionar entrevistas</w:t>
      </w:r>
    </w:p>
    <w:p w:rsidR="00A22054" w:rsidRDefault="0027148C" w14:paraId="54E1AAFD" w14:textId="77777777">
      <w:pPr>
        <w:jc w:val="both"/>
        <w:rPr>
          <w:rFonts w:ascii="Roboto" w:hAnsi="Roboto" w:eastAsia="Roboto" w:cs="Roboto"/>
          <w:sz w:val="22"/>
          <w:szCs w:val="22"/>
        </w:rPr>
      </w:pPr>
      <w:r>
        <w:rPr>
          <w:rFonts w:ascii="Roboto" w:hAnsi="Roboto" w:eastAsia="Roboto" w:cs="Roboto"/>
          <w:sz w:val="22"/>
          <w:szCs w:val="22"/>
        </w:rPr>
        <w:t>Eva Martín</w:t>
      </w:r>
    </w:p>
    <w:p w:rsidR="00A22054" w:rsidRDefault="0027148C" w14:paraId="54E1AAFE" w14:textId="77777777">
      <w:pPr>
        <w:jc w:val="both"/>
        <w:rPr>
          <w:rFonts w:ascii="Roboto" w:hAnsi="Roboto" w:eastAsia="Roboto" w:cs="Roboto"/>
          <w:sz w:val="22"/>
          <w:szCs w:val="22"/>
        </w:rPr>
      </w:pPr>
      <w:r>
        <w:rPr>
          <w:rFonts w:ascii="Roboto" w:hAnsi="Roboto" w:eastAsia="Roboto" w:cs="Roboto"/>
          <w:sz w:val="22"/>
          <w:szCs w:val="22"/>
        </w:rPr>
        <w:t xml:space="preserve">Tfno. 628 17 49 01 / </w:t>
      </w:r>
      <w:r>
        <w:rPr>
          <w:rFonts w:ascii="Roboto" w:hAnsi="Roboto" w:eastAsia="Roboto" w:cs="Roboto"/>
          <w:color w:val="E83544"/>
          <w:sz w:val="22"/>
          <w:szCs w:val="22"/>
        </w:rPr>
        <w:t xml:space="preserve"> </w:t>
      </w:r>
      <w:hyperlink r:id="rId18">
        <w:r w:rsidR="00A22054">
          <w:rPr>
            <w:rFonts w:ascii="Roboto" w:hAnsi="Roboto" w:eastAsia="Roboto" w:cs="Roboto"/>
            <w:color w:val="E83544"/>
            <w:sz w:val="22"/>
            <w:szCs w:val="22"/>
            <w:u w:val="single"/>
          </w:rPr>
          <w:t>evamc@varenga.es</w:t>
        </w:r>
      </w:hyperlink>
    </w:p>
    <w:p w:rsidR="00A22054" w:rsidRDefault="00A22054" w14:paraId="54E1AAFF" w14:textId="77777777"/>
    <w:p w:rsidR="00A22054" w:rsidRDefault="00A22054" w14:paraId="54E1AB00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highlight w:val="white"/>
        </w:rPr>
      </w:pPr>
    </w:p>
    <w:sectPr w:rsidR="00A2205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orient="portrait"/>
      <w:pgMar w:top="1417" w:right="1701" w:bottom="127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148C" w:rsidRDefault="0027148C" w14:paraId="4D9CF849" w14:textId="77777777">
      <w:r>
        <w:separator/>
      </w:r>
    </w:p>
  </w:endnote>
  <w:endnote w:type="continuationSeparator" w:id="0">
    <w:p w:rsidR="0027148C" w:rsidRDefault="0027148C" w14:paraId="5881790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B4F5B8CB-1941-44CD-AC7E-C2EBA9332DA0}" r:id="rId1"/>
  </w:font>
  <w:font w:name="Roboto">
    <w:charset w:val="00"/>
    <w:family w:val="auto"/>
    <w:pitch w:val="variable"/>
    <w:sig w:usb0="E0000AFF" w:usb1="5000217F" w:usb2="00000021" w:usb3="00000000" w:csb0="0000019F" w:csb1="00000000"/>
    <w:embedRegular w:fontKey="{34183F22-571E-48BF-8FB9-859A3B5DA3EC}" r:id="rId2"/>
    <w:embedBold w:fontKey="{7F76DB47-D55B-4CF3-8825-16095DBCE681}" r:id="rId3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1701EFDA-C193-48CF-BC35-3969A3CFB7F4}" r:id="rId4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68671D31-C440-4C5F-80CB-AD76D5E6C408}" r:id="rId5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2054" w:rsidRDefault="00A22054" w14:paraId="54E1AB09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2054" w:rsidRDefault="0027148C" w14:paraId="54E1AB0A" w14:textId="7A9CA8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14DE1">
      <w:rPr>
        <w:noProof/>
        <w:color w:val="000000"/>
      </w:rPr>
      <w:t>1</w:t>
    </w:r>
    <w:r>
      <w:rPr>
        <w:color w:val="000000"/>
      </w:rPr>
      <w:fldChar w:fldCharType="end"/>
    </w:r>
  </w:p>
  <w:p w:rsidR="00A22054" w:rsidRDefault="00A22054" w14:paraId="54E1AB0B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2054" w:rsidRDefault="00A22054" w14:paraId="54E1AB0D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148C" w:rsidRDefault="0027148C" w14:paraId="0297458D" w14:textId="77777777">
      <w:r>
        <w:separator/>
      </w:r>
    </w:p>
  </w:footnote>
  <w:footnote w:type="continuationSeparator" w:id="0">
    <w:p w:rsidR="0027148C" w:rsidRDefault="0027148C" w14:paraId="2F50723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2054" w:rsidRDefault="00A22054" w14:paraId="54E1AB03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A22054" w:rsidRDefault="0027148C" w14:paraId="54E1AB04" w14:textId="77777777">
    <w:pPr>
      <w:spacing w:line="276" w:lineRule="auto"/>
    </w:pPr>
    <w:r>
      <w:t xml:space="preserve">                                          </w:t>
    </w:r>
    <w:r>
      <w:t xml:space="preserve">                          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54E1AB0E" wp14:editId="54E1AB0F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1240365" cy="80587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0365" cy="8058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1" behindDoc="0" locked="0" layoutInCell="1" hidden="0" allowOverlap="1" wp14:anchorId="54E1AB10" wp14:editId="54E1AB11">
          <wp:simplePos x="0" y="0"/>
          <wp:positionH relativeFrom="column">
            <wp:posOffset>4152900</wp:posOffset>
          </wp:positionH>
          <wp:positionV relativeFrom="paragraph">
            <wp:posOffset>142875</wp:posOffset>
          </wp:positionV>
          <wp:extent cx="1157297" cy="684798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-8" b="-8"/>
                  <a:stretch>
                    <a:fillRect/>
                  </a:stretch>
                </pic:blipFill>
                <pic:spPr>
                  <a:xfrm>
                    <a:off x="0" y="0"/>
                    <a:ext cx="1157297" cy="684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22054" w:rsidRDefault="00A22054" w14:paraId="54E1AB05" w14:textId="77777777">
    <w:pPr>
      <w:spacing w:line="276" w:lineRule="auto"/>
    </w:pPr>
  </w:p>
  <w:p w:rsidR="00A22054" w:rsidRDefault="00A22054" w14:paraId="54E1AB06" w14:textId="77777777">
    <w:pPr>
      <w:spacing w:line="276" w:lineRule="auto"/>
    </w:pPr>
  </w:p>
  <w:p w:rsidR="00A22054" w:rsidRDefault="00A22054" w14:paraId="54E1AB07" w14:textId="77777777">
    <w:pPr>
      <w:spacing w:line="276" w:lineRule="auto"/>
    </w:pPr>
  </w:p>
  <w:p w:rsidR="00A22054" w:rsidRDefault="00A22054" w14:paraId="54E1AB08" w14:textId="77777777">
    <w:pPr>
      <w:spacing w:line="276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2054" w:rsidRDefault="00A22054" w14:paraId="54E1AB0C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17F9D"/>
    <w:multiLevelType w:val="multilevel"/>
    <w:tmpl w:val="DA3496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9406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054"/>
    <w:rsid w:val="00073057"/>
    <w:rsid w:val="000C4167"/>
    <w:rsid w:val="0027148C"/>
    <w:rsid w:val="002A7019"/>
    <w:rsid w:val="005324B6"/>
    <w:rsid w:val="00532A9F"/>
    <w:rsid w:val="0064422B"/>
    <w:rsid w:val="0071009D"/>
    <w:rsid w:val="00736429"/>
    <w:rsid w:val="00775659"/>
    <w:rsid w:val="009735F7"/>
    <w:rsid w:val="00A14DE1"/>
    <w:rsid w:val="00A22054"/>
    <w:rsid w:val="00AE039A"/>
    <w:rsid w:val="00B469BA"/>
    <w:rsid w:val="00B9045D"/>
    <w:rsid w:val="00BA2213"/>
    <w:rsid w:val="00BD4757"/>
    <w:rsid w:val="00CB3359"/>
    <w:rsid w:val="00D210D1"/>
    <w:rsid w:val="00DF0B29"/>
    <w:rsid w:val="00E400BD"/>
    <w:rsid w:val="00E97E47"/>
    <w:rsid w:val="00EE4FD3"/>
    <w:rsid w:val="00F61392"/>
    <w:rsid w:val="00FA0F4B"/>
    <w:rsid w:val="6034A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1AACB"/>
  <w15:docId w15:val="{914E911C-2D26-475B-B517-998BA6A9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4"/>
        <w:szCs w:val="24"/>
        <w:lang w:val="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B9045D"/>
    <w:pPr>
      <w:tabs>
        <w:tab w:val="center" w:pos="4252"/>
        <w:tab w:val="right" w:pos="8504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B9045D"/>
  </w:style>
  <w:style w:type="paragraph" w:styleId="Footer">
    <w:name w:val="footer"/>
    <w:basedOn w:val="Normal"/>
    <w:link w:val="FooterChar"/>
    <w:uiPriority w:val="99"/>
    <w:semiHidden/>
    <w:unhideWhenUsed/>
    <w:rsid w:val="00B9045D"/>
    <w:pPr>
      <w:tabs>
        <w:tab w:val="center" w:pos="4252"/>
        <w:tab w:val="right" w:pos="8504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B9045D"/>
  </w:style>
  <w:style w:type="paragraph" w:styleId="Revision">
    <w:name w:val="Revision"/>
    <w:hidden/>
    <w:uiPriority w:val="99"/>
    <w:semiHidden/>
    <w:rsid w:val="00F61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enac.es/documents/7020/8770942/Memoria_ENAC_interactiva_2025_AF2.pdf/0ab7ef3f-a80e-41a8-8e71-afbaa3ddfbda" TargetMode="External" Id="rId13" /><Relationship Type="http://schemas.openxmlformats.org/officeDocument/2006/relationships/hyperlink" Target="mailto:evamc@varenga.es" TargetMode="Externa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footer" Target="footer1.xml" Id="rId21" /><Relationship Type="http://schemas.openxmlformats.org/officeDocument/2006/relationships/settings" Target="settings.xml" Id="rId7" /><Relationship Type="http://schemas.openxmlformats.org/officeDocument/2006/relationships/hyperlink" Target="https://www.enac.es/memoria-2025" TargetMode="External" Id="rId12" /><Relationship Type="http://schemas.openxmlformats.org/officeDocument/2006/relationships/image" Target="media/image1.png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hyperlink" Target="http://www.enac.es" TargetMode="External" Id="rId16" /><Relationship Type="http://schemas.openxmlformats.org/officeDocument/2006/relationships/header" Target="head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enac.es/" TargetMode="External" Id="rId11" /><Relationship Type="http://schemas.openxmlformats.org/officeDocument/2006/relationships/footer" Target="footer3.xml" Id="rId24" /><Relationship Type="http://schemas.openxmlformats.org/officeDocument/2006/relationships/numbering" Target="numbering.xml" Id="rId5" /><Relationship Type="http://schemas.openxmlformats.org/officeDocument/2006/relationships/hyperlink" Target="https://www.enac.es/documents/7020/756079/simplificacion-administrativa/e1fced87-aa59-4a5f-b3a8-b4e3d6b496b7" TargetMode="External" Id="rId15" /><Relationship Type="http://schemas.openxmlformats.org/officeDocument/2006/relationships/header" Target="header3.xml" Id="rId23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enac.es/documents/7020/8770942/Memoria_ENAC_interactiva_2025_AF2.pdf/0ab7ef3f-a80e-41a8-8e71-afbaa3ddfbda" TargetMode="External" Id="rId14" /><Relationship Type="http://schemas.openxmlformats.org/officeDocument/2006/relationships/footer" Target="footer2.xml" Id="rId22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JFXDDLiQjtBKG3sb9im9u1LSTQ==">CgMxLjA4AHIhMTdxTjJja0ZwZ1pQaHk0d3FpOXlWNl92VllmTC1xaXJ2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52DE15686E4843A3780C010A78B13A" ma:contentTypeVersion="16" ma:contentTypeDescription="Crear nuevo documento." ma:contentTypeScope="" ma:versionID="35b7714a55062d14d892f3522112704a">
  <xsd:schema xmlns:xsd="http://www.w3.org/2001/XMLSchema" xmlns:xs="http://www.w3.org/2001/XMLSchema" xmlns:p="http://schemas.microsoft.com/office/2006/metadata/properties" xmlns:ns2="6e290ce1-b2e7-4ccb-948d-a290ef611fa1" xmlns:ns3="909e21e3-a2e2-47ca-be0e-9c3a9bef9292" targetNamespace="http://schemas.microsoft.com/office/2006/metadata/properties" ma:root="true" ma:fieldsID="92a12215dc0792136b523b9589aa527d" ns2:_="" ns3:_="">
    <xsd:import namespace="6e290ce1-b2e7-4ccb-948d-a290ef611fa1"/>
    <xsd:import namespace="909e21e3-a2e2-47ca-be0e-9c3a9bef9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90ce1-b2e7-4ccb-948d-a290ef611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45c5079e-b5d9-4f40-8558-acc8d9d79a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e21e3-a2e2-47ca-be0e-9c3a9bef9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6efcf77-0706-4f8e-b256-a6b4bd8b1840}" ma:internalName="TaxCatchAll" ma:showField="CatchAllData" ma:web="909e21e3-a2e2-47ca-be0e-9c3a9bef9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290ce1-b2e7-4ccb-948d-a290ef611fa1">
      <Terms xmlns="http://schemas.microsoft.com/office/infopath/2007/PartnerControls"/>
    </lcf76f155ced4ddcb4097134ff3c332f>
    <TaxCatchAll xmlns="909e21e3-a2e2-47ca-be0e-9c3a9bef929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2FF382-FF44-4007-BA71-9752ED6B0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90ce1-b2e7-4ccb-948d-a290ef611fa1"/>
    <ds:schemaRef ds:uri="909e21e3-a2e2-47ca-be0e-9c3a9bef9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E00AD8-2C5F-40B6-9CCE-DDA87146133C}">
  <ds:schemaRefs>
    <ds:schemaRef ds:uri="http://schemas.microsoft.com/office/2006/metadata/properties"/>
    <ds:schemaRef ds:uri="http://schemas.microsoft.com/office/infopath/2007/PartnerControls"/>
    <ds:schemaRef ds:uri="6e290ce1-b2e7-4ccb-948d-a290ef611fa1"/>
    <ds:schemaRef ds:uri="909e21e3-a2e2-47ca-be0e-9c3a9bef9292"/>
  </ds:schemaRefs>
</ds:datastoreItem>
</file>

<file path=customXml/itemProps4.xml><?xml version="1.0" encoding="utf-8"?>
<ds:datastoreItem xmlns:ds="http://schemas.openxmlformats.org/officeDocument/2006/customXml" ds:itemID="{6C7B88EE-37B8-42DC-BAC1-89936E526BC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Eva Martín</lastModifiedBy>
  <revision>14</revision>
  <dcterms:created xsi:type="dcterms:W3CDTF">2026-06-22T17:18:00.0000000Z</dcterms:created>
  <dcterms:modified xsi:type="dcterms:W3CDTF">2026-06-24T08:33:33.4746902Z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0x0101009152DE15686E4843A3780C010A78B13A</vt:lpwstr>
  </property>
  <property fmtid="{D5CDD505-2E9C-101B-9397-08002B2CF9AE}" pid="3" name="MediaServiceImageTags">
    <vt:lpwstr>MediaServiceImageTags</vt:lpwstr>
  </property>
</Properties>
</file>