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144A29" w:rsidRDefault="00AF6BD0">
      <w:pPr>
        <w:spacing w:line="276" w:lineRule="auto"/>
        <w:jc w:val="center"/>
        <w:rPr>
          <w:rFonts w:ascii="Roboto" w:eastAsia="Roboto" w:hAnsi="Roboto" w:cs="Roboto"/>
          <w:sz w:val="22"/>
          <w:szCs w:val="22"/>
        </w:rPr>
      </w:pPr>
      <w:r>
        <w:rPr>
          <w:rFonts w:ascii="Roboto" w:eastAsia="Roboto" w:hAnsi="Roboto" w:cs="Roboto"/>
          <w:b/>
          <w:bCs/>
          <w:sz w:val="40"/>
          <w:szCs w:val="40"/>
        </w:rPr>
        <w:t>NOTA DE PRENSA</w:t>
      </w:r>
      <w:r>
        <w:rPr>
          <w:rFonts w:ascii="Roboto" w:eastAsia="Roboto" w:hAnsi="Roboto" w:cs="Roboto"/>
          <w:sz w:val="22"/>
          <w:szCs w:val="22"/>
        </w:rPr>
        <w:t xml:space="preserve"> </w:t>
      </w:r>
    </w:p>
    <w:p w14:paraId="00000002" w14:textId="77777777" w:rsidR="00144A29" w:rsidRDefault="00144A29">
      <w:pPr>
        <w:jc w:val="center"/>
        <w:rPr>
          <w:rFonts w:ascii="Roboto" w:eastAsia="Roboto" w:hAnsi="Roboto" w:cs="Roboto"/>
          <w:sz w:val="30"/>
          <w:szCs w:val="30"/>
        </w:rPr>
      </w:pPr>
    </w:p>
    <w:p w14:paraId="00000003" w14:textId="64393A44" w:rsidR="00144A29" w:rsidRDefault="43ADC55B">
      <w:pPr>
        <w:jc w:val="center"/>
        <w:rPr>
          <w:rFonts w:ascii="Roboto" w:eastAsia="Roboto" w:hAnsi="Roboto" w:cs="Roboto"/>
          <w:b/>
          <w:bCs/>
          <w:sz w:val="34"/>
          <w:szCs w:val="34"/>
        </w:rPr>
      </w:pPr>
      <w:r w:rsidRPr="10639F3D">
        <w:rPr>
          <w:rFonts w:ascii="Roboto" w:eastAsia="Roboto" w:hAnsi="Roboto" w:cs="Roboto"/>
          <w:b/>
          <w:bCs/>
          <w:sz w:val="34"/>
          <w:szCs w:val="34"/>
        </w:rPr>
        <w:t>Geyser HPC</w:t>
      </w:r>
      <w:r w:rsidR="1547763F" w:rsidRPr="10639F3D">
        <w:rPr>
          <w:rFonts w:ascii="Roboto" w:eastAsia="Roboto" w:hAnsi="Roboto" w:cs="Roboto"/>
          <w:b/>
          <w:bCs/>
          <w:sz w:val="34"/>
          <w:szCs w:val="34"/>
        </w:rPr>
        <w:t xml:space="preserve"> obtiene la </w:t>
      </w:r>
      <w:r w:rsidR="3E16A19F" w:rsidRPr="10639F3D">
        <w:rPr>
          <w:rFonts w:ascii="Roboto" w:eastAsia="Roboto" w:hAnsi="Roboto" w:cs="Roboto"/>
          <w:b/>
          <w:bCs/>
          <w:sz w:val="34"/>
          <w:szCs w:val="34"/>
        </w:rPr>
        <w:t xml:space="preserve">primera </w:t>
      </w:r>
      <w:r w:rsidR="1547763F" w:rsidRPr="10639F3D">
        <w:rPr>
          <w:rFonts w:ascii="Roboto" w:eastAsia="Roboto" w:hAnsi="Roboto" w:cs="Roboto"/>
          <w:b/>
          <w:bCs/>
          <w:sz w:val="34"/>
          <w:szCs w:val="34"/>
        </w:rPr>
        <w:t>acreditación</w:t>
      </w:r>
      <w:r w:rsidRPr="10639F3D">
        <w:rPr>
          <w:rFonts w:ascii="Roboto" w:eastAsia="Roboto" w:hAnsi="Roboto" w:cs="Roboto"/>
          <w:b/>
          <w:bCs/>
          <w:sz w:val="34"/>
          <w:szCs w:val="34"/>
        </w:rPr>
        <w:t xml:space="preserve"> para realizar inspecciones para el control de la contaminación puntual en aguas subterráneas </w:t>
      </w:r>
    </w:p>
    <w:p w14:paraId="00000004" w14:textId="77777777" w:rsidR="00144A29" w:rsidRDefault="00AF6BD0">
      <w:pPr>
        <w:jc w:val="center"/>
        <w:rPr>
          <w:rFonts w:ascii="Roboto" w:eastAsia="Roboto" w:hAnsi="Roboto" w:cs="Roboto"/>
          <w:b/>
          <w:bCs/>
          <w:sz w:val="20"/>
          <w:szCs w:val="20"/>
        </w:rPr>
      </w:pPr>
      <w:r>
        <w:rPr>
          <w:rFonts w:ascii="Roboto" w:eastAsia="Roboto" w:hAnsi="Roboto" w:cs="Roboto"/>
          <w:b/>
          <w:bCs/>
          <w:sz w:val="20"/>
          <w:szCs w:val="20"/>
        </w:rPr>
        <w:t xml:space="preserve">  </w:t>
      </w:r>
    </w:p>
    <w:p w14:paraId="00000005" w14:textId="77777777" w:rsidR="00144A29" w:rsidRDefault="00AF6BD0">
      <w:pPr>
        <w:numPr>
          <w:ilvl w:val="0"/>
          <w:numId w:val="1"/>
        </w:numPr>
        <w:jc w:val="both"/>
        <w:rPr>
          <w:rFonts w:ascii="Roboto" w:eastAsia="Roboto" w:hAnsi="Roboto" w:cs="Roboto"/>
          <w:b/>
          <w:bCs/>
          <w:sz w:val="22"/>
          <w:szCs w:val="22"/>
        </w:rPr>
      </w:pPr>
      <w:r>
        <w:rPr>
          <w:rFonts w:ascii="Roboto" w:eastAsia="Roboto" w:hAnsi="Roboto" w:cs="Roboto"/>
          <w:b/>
          <w:bCs/>
          <w:sz w:val="22"/>
          <w:szCs w:val="22"/>
        </w:rPr>
        <w:t>Ha sido otorgada conforme a lo establecido en el Real Decreto 665/2023 que determina que las actividades de inspección en este ámbito solo pueden ser realizadas por entidades designadas como entidades colaboradoras de la administración hidráulica (ECAH), para cuya designación es requisito disponer de una acreditación conforme a la norma UNE-EN ISO/IEC 17020.</w:t>
      </w:r>
    </w:p>
    <w:p w14:paraId="00000006" w14:textId="77777777" w:rsidR="00144A29" w:rsidRDefault="00144A29">
      <w:pPr>
        <w:ind w:left="720"/>
        <w:jc w:val="both"/>
        <w:rPr>
          <w:rFonts w:ascii="Roboto" w:eastAsia="Roboto" w:hAnsi="Roboto" w:cs="Roboto"/>
          <w:b/>
          <w:bCs/>
          <w:sz w:val="20"/>
          <w:szCs w:val="20"/>
        </w:rPr>
      </w:pPr>
    </w:p>
    <w:p w14:paraId="00000007" w14:textId="77777777" w:rsidR="00144A29" w:rsidRDefault="00144A29">
      <w:pPr>
        <w:jc w:val="both"/>
        <w:rPr>
          <w:rFonts w:ascii="Roboto" w:eastAsia="Roboto" w:hAnsi="Roboto" w:cs="Roboto"/>
          <w:sz w:val="22"/>
          <w:szCs w:val="22"/>
        </w:rPr>
      </w:pPr>
    </w:p>
    <w:p w14:paraId="1DFA0B5A" w14:textId="200C13FE" w:rsidR="77B55145" w:rsidRDefault="77B55145" w:rsidP="10639F3D">
      <w:pPr>
        <w:jc w:val="both"/>
      </w:pPr>
      <w:r w:rsidRPr="10639F3D">
        <w:rPr>
          <w:rFonts w:ascii="Roboto" w:eastAsia="Roboto" w:hAnsi="Roboto" w:cs="Roboto"/>
          <w:color w:val="000000" w:themeColor="text1"/>
          <w:sz w:val="22"/>
          <w:szCs w:val="22"/>
          <w:lang w:val="es-ES"/>
        </w:rPr>
        <w:t xml:space="preserve">Madrid, 16 de junio de 2026. Madrid, 16 de junio de 2026. La </w:t>
      </w:r>
      <w:hyperlink r:id="rId11">
        <w:r w:rsidRPr="00D53A25">
          <w:rPr>
            <w:rStyle w:val="Hipervnculo"/>
            <w:rFonts w:ascii="Roboto" w:hAnsi="Roboto"/>
            <w:color w:val="1155CC"/>
            <w:sz w:val="22"/>
            <w:szCs w:val="22"/>
            <w:u w:val="none"/>
            <w:lang w:val="es-ES"/>
          </w:rPr>
          <w:t>Entidad Nacional de Acreditación</w:t>
        </w:r>
      </w:hyperlink>
      <w:r w:rsidRPr="00D53A25">
        <w:rPr>
          <w:rFonts w:ascii="Roboto" w:eastAsia="Roboto" w:hAnsi="Roboto" w:cs="Roboto"/>
          <w:color w:val="000000" w:themeColor="text1"/>
          <w:sz w:val="20"/>
          <w:szCs w:val="20"/>
          <w:lang w:val="es-ES"/>
        </w:rPr>
        <w:t xml:space="preserve"> </w:t>
      </w:r>
      <w:r w:rsidRPr="10639F3D">
        <w:rPr>
          <w:rFonts w:ascii="Roboto" w:eastAsia="Roboto" w:hAnsi="Roboto" w:cs="Roboto"/>
          <w:color w:val="000000" w:themeColor="text1"/>
          <w:sz w:val="22"/>
          <w:szCs w:val="22"/>
          <w:lang w:val="es-ES"/>
        </w:rPr>
        <w:t xml:space="preserve">(ENAC) ha concedido a Geyser HPC la </w:t>
      </w:r>
      <w:r w:rsidRPr="10639F3D">
        <w:rPr>
          <w:rFonts w:ascii="Roboto" w:eastAsia="Roboto" w:hAnsi="Roboto" w:cs="Roboto"/>
          <w:b/>
          <w:bCs/>
          <w:color w:val="000000" w:themeColor="text1"/>
          <w:sz w:val="22"/>
          <w:szCs w:val="22"/>
          <w:lang w:val="es-ES"/>
        </w:rPr>
        <w:t>primera acreditación</w:t>
      </w:r>
      <w:r w:rsidRPr="10639F3D">
        <w:rPr>
          <w:rFonts w:ascii="Roboto" w:eastAsia="Roboto" w:hAnsi="Roboto" w:cs="Roboto"/>
          <w:color w:val="000000" w:themeColor="text1"/>
          <w:sz w:val="22"/>
          <w:szCs w:val="22"/>
          <w:lang w:val="es-ES"/>
        </w:rPr>
        <w:t xml:space="preserve"> </w:t>
      </w:r>
      <w:r w:rsidRPr="10639F3D">
        <w:rPr>
          <w:rFonts w:ascii="Roboto" w:eastAsia="Roboto" w:hAnsi="Roboto" w:cs="Roboto"/>
          <w:b/>
          <w:bCs/>
          <w:color w:val="000000" w:themeColor="text1"/>
          <w:sz w:val="22"/>
          <w:szCs w:val="22"/>
          <w:lang w:val="es-ES"/>
        </w:rPr>
        <w:t>en España,</w:t>
      </w:r>
      <w:r w:rsidRPr="10639F3D">
        <w:rPr>
          <w:rFonts w:ascii="Roboto" w:eastAsia="Roboto" w:hAnsi="Roboto" w:cs="Roboto"/>
          <w:color w:val="000000" w:themeColor="text1"/>
          <w:sz w:val="22"/>
          <w:szCs w:val="22"/>
          <w:lang w:val="es-ES"/>
        </w:rPr>
        <w:t xml:space="preserve"> </w:t>
      </w:r>
      <w:r w:rsidRPr="10639F3D">
        <w:rPr>
          <w:rFonts w:ascii="Roboto" w:eastAsia="Roboto" w:hAnsi="Roboto" w:cs="Roboto"/>
          <w:b/>
          <w:bCs/>
          <w:color w:val="000000" w:themeColor="text1"/>
          <w:sz w:val="22"/>
          <w:szCs w:val="22"/>
          <w:lang w:val="es-ES"/>
        </w:rPr>
        <w:t xml:space="preserve">según </w:t>
      </w:r>
      <w:r w:rsidRPr="10639F3D">
        <w:rPr>
          <w:rFonts w:ascii="Roboto" w:eastAsia="Roboto" w:hAnsi="Roboto" w:cs="Roboto"/>
          <w:color w:val="D13438"/>
          <w:sz w:val="22"/>
          <w:szCs w:val="22"/>
          <w:lang w:val="es-ES"/>
        </w:rPr>
        <w:t xml:space="preserve"> </w:t>
      </w:r>
      <w:r w:rsidRPr="10639F3D">
        <w:rPr>
          <w:rFonts w:ascii="Roboto" w:eastAsia="Roboto" w:hAnsi="Roboto" w:cs="Roboto"/>
          <w:color w:val="000000" w:themeColor="text1"/>
          <w:sz w:val="22"/>
          <w:szCs w:val="22"/>
          <w:lang w:val="es-ES"/>
        </w:rPr>
        <w:t xml:space="preserve"> </w:t>
      </w:r>
      <w:r w:rsidRPr="10639F3D">
        <w:rPr>
          <w:rFonts w:ascii="Roboto" w:eastAsia="Roboto" w:hAnsi="Roboto" w:cs="Roboto"/>
          <w:b/>
          <w:bCs/>
          <w:color w:val="000000" w:themeColor="text1"/>
          <w:sz w:val="22"/>
          <w:szCs w:val="22"/>
          <w:lang w:val="es-ES"/>
        </w:rPr>
        <w:t>la norma UNE-EN ISO/IEC 17020, para la realización de inspecciones relacionadas con el control de la contaminación puntual en aguas subterráneas, conforme a lo establecido en el Real Decreto 665/2023,</w:t>
      </w:r>
      <w:r w:rsidRPr="10639F3D">
        <w:rPr>
          <w:rFonts w:ascii="Roboto" w:eastAsia="Roboto" w:hAnsi="Roboto" w:cs="Roboto"/>
          <w:color w:val="000000" w:themeColor="text1"/>
          <w:sz w:val="22"/>
          <w:szCs w:val="22"/>
          <w:lang w:val="es-ES"/>
        </w:rPr>
        <w:t xml:space="preserve"> relativo a la protección del dominio público hidráulico y a la prevención de la contaminación de las aguas subterráneas.  </w:t>
      </w:r>
    </w:p>
    <w:p w14:paraId="00000009" w14:textId="77777777" w:rsidR="00144A29" w:rsidRDefault="00144A29">
      <w:pPr>
        <w:jc w:val="both"/>
        <w:rPr>
          <w:rFonts w:ascii="Roboto" w:eastAsia="Roboto" w:hAnsi="Roboto" w:cs="Roboto"/>
          <w:sz w:val="22"/>
          <w:szCs w:val="22"/>
        </w:rPr>
      </w:pPr>
    </w:p>
    <w:p w14:paraId="0000000A" w14:textId="77777777" w:rsidR="00144A29" w:rsidRDefault="00AF6BD0">
      <w:pPr>
        <w:spacing w:after="160"/>
        <w:jc w:val="both"/>
        <w:rPr>
          <w:rFonts w:ascii="Roboto" w:eastAsia="Roboto" w:hAnsi="Roboto" w:cs="Roboto"/>
          <w:sz w:val="22"/>
          <w:szCs w:val="22"/>
        </w:rPr>
      </w:pPr>
      <w:r>
        <w:rPr>
          <w:rFonts w:ascii="Roboto" w:eastAsia="Roboto" w:hAnsi="Roboto" w:cs="Roboto"/>
          <w:sz w:val="22"/>
          <w:szCs w:val="22"/>
        </w:rPr>
        <w:t>El Real Decreto 665/2023, ha sido desarrollado por la Orden TED/739/2025 por la que se establece el régimen jurídico de las entidades colaboradoras de la administración hidráulica (ECAH) en materia de aprovechamientos y protección de las aguas del dominio público hidráulico, a través de la cual, a su vez han sido aprobados y publicados los protocolos ECAH de Actuaciones de Protección Aguas Subterráneas frente a la Contaminación Puntual y de Muestreo en Emplazamientos Contaminados.</w:t>
      </w:r>
    </w:p>
    <w:p w14:paraId="0000000B" w14:textId="77777777" w:rsidR="00144A29" w:rsidRDefault="00AF6BD0">
      <w:pPr>
        <w:spacing w:after="160"/>
        <w:jc w:val="both"/>
        <w:rPr>
          <w:rFonts w:ascii="Roboto" w:eastAsia="Roboto" w:hAnsi="Roboto" w:cs="Roboto"/>
          <w:sz w:val="22"/>
          <w:szCs w:val="22"/>
        </w:rPr>
      </w:pPr>
      <w:r>
        <w:rPr>
          <w:rFonts w:ascii="Roboto" w:eastAsia="Roboto" w:hAnsi="Roboto" w:cs="Roboto"/>
          <w:sz w:val="22"/>
          <w:szCs w:val="22"/>
        </w:rPr>
        <w:t>Entre las funciones de las ECAH definidas por la orden, se encuentran la elaboración de estudios hidrogeológicos e informes requeridos para la gestión del dominio público hidráulico en materia de protección de las aguas subterráneas; los estudios de caracterización y diagnóstico relativos a la contaminación puntual de las mismas; los análisis de riesgos asociados a dicha contaminación; los informes de situación, seguimiento, monitorización y control de la calidad de las aguas subterráneas y los proyectos de descontaminación de las aguas subterráneas contaminadas y sus informes asociados.</w:t>
      </w:r>
    </w:p>
    <w:p w14:paraId="0000000C" w14:textId="77777777" w:rsidR="00144A29" w:rsidRDefault="00AF6BD0">
      <w:pPr>
        <w:spacing w:after="160"/>
        <w:jc w:val="both"/>
        <w:rPr>
          <w:rFonts w:ascii="Roboto" w:eastAsia="Roboto" w:hAnsi="Roboto" w:cs="Roboto"/>
          <w:sz w:val="22"/>
          <w:szCs w:val="22"/>
        </w:rPr>
      </w:pPr>
      <w:r>
        <w:rPr>
          <w:rFonts w:ascii="Roboto" w:eastAsia="Roboto" w:hAnsi="Roboto" w:cs="Roboto"/>
          <w:sz w:val="22"/>
          <w:szCs w:val="22"/>
        </w:rPr>
        <w:t>Estas disposiciones establecen que las actividades de inspección en el marco del real decreto solo pueden ser realizadas por entidades designadas como ECAH, para cuya designación es requisito disponer de una acreditación conforme a la norma UNE-EN ISO/IEC 17020.</w:t>
      </w:r>
    </w:p>
    <w:p w14:paraId="0000000D" w14:textId="77777777" w:rsidR="00144A29" w:rsidRDefault="00AF6BD0">
      <w:pPr>
        <w:spacing w:after="160"/>
        <w:jc w:val="both"/>
        <w:rPr>
          <w:rFonts w:ascii="Roboto" w:eastAsia="Roboto" w:hAnsi="Roboto" w:cs="Roboto"/>
          <w:sz w:val="22"/>
          <w:szCs w:val="22"/>
          <w:lang w:val="es-ES"/>
        </w:rPr>
      </w:pPr>
      <w:r w:rsidRPr="63A8B910">
        <w:rPr>
          <w:rFonts w:ascii="Roboto" w:eastAsia="Roboto" w:hAnsi="Roboto" w:cs="Roboto"/>
          <w:sz w:val="22"/>
          <w:szCs w:val="22"/>
          <w:lang w:val="es-ES"/>
        </w:rPr>
        <w:t>Se trata de un ejemplo más de cómo la acreditación es una herramienta cada vez más utilizada por las diferentes administraciones para la consecución de sus objetivos de políticas públicas, ya que permite identificar a las entidades de inspección que han demostrado formalmente su competencia técnica e imparcialidad para realizar sus actividades aportando confianza a las administraciones sobre la fiabilidad de sus resultados.</w:t>
      </w:r>
    </w:p>
    <w:p w14:paraId="0000000E" w14:textId="77777777" w:rsidR="00144A29" w:rsidRDefault="00AF6BD0">
      <w:pPr>
        <w:spacing w:after="160"/>
        <w:jc w:val="both"/>
        <w:rPr>
          <w:rFonts w:ascii="Roboto" w:eastAsia="Roboto" w:hAnsi="Roboto" w:cs="Roboto"/>
          <w:sz w:val="22"/>
          <w:szCs w:val="22"/>
        </w:rPr>
      </w:pPr>
      <w:r>
        <w:rPr>
          <w:rFonts w:ascii="Roboto" w:eastAsia="Roboto" w:hAnsi="Roboto" w:cs="Roboto"/>
          <w:sz w:val="22"/>
          <w:szCs w:val="22"/>
        </w:rPr>
        <w:lastRenderedPageBreak/>
        <w:t>En la actualidad, cerca de 400 disposiciones europeas, nacionales, autonómicas y locales, incorporan la acreditación para garantizar la fiabilidad de los productos y servicios, desarrollar mercados seguros y reforzar la protección de los consumidores en áreas tan diversas como la seguridad industrial, la salud pública o la protección medioambiental, entre otras.</w:t>
      </w:r>
    </w:p>
    <w:p w14:paraId="0000000F" w14:textId="77777777" w:rsidR="00144A29" w:rsidRDefault="00AF6BD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jc w:val="both"/>
        <w:rPr>
          <w:rFonts w:ascii="Roboto" w:eastAsia="Roboto" w:hAnsi="Roboto" w:cs="Roboto"/>
          <w:color w:val="E83544"/>
          <w:sz w:val="22"/>
          <w:szCs w:val="22"/>
        </w:rPr>
      </w:pPr>
      <w:r>
        <w:rPr>
          <w:rFonts w:ascii="Roboto" w:eastAsia="Roboto" w:hAnsi="Roboto" w:cs="Roboto"/>
          <w:b/>
          <w:bCs/>
          <w:color w:val="E83544"/>
          <w:sz w:val="22"/>
          <w:szCs w:val="22"/>
        </w:rPr>
        <w:t>Sobre ENAC</w:t>
      </w:r>
      <w:r>
        <w:rPr>
          <w:rFonts w:ascii="Roboto" w:eastAsia="Roboto" w:hAnsi="Roboto" w:cs="Roboto"/>
          <w:color w:val="E83544"/>
          <w:sz w:val="22"/>
          <w:szCs w:val="22"/>
        </w:rPr>
        <w:t xml:space="preserve"> </w:t>
      </w:r>
    </w:p>
    <w:p w14:paraId="00000010" w14:textId="77777777" w:rsidR="00144A29" w:rsidRDefault="00AF6BD0">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59" w:lineRule="auto"/>
        <w:jc w:val="both"/>
        <w:rPr>
          <w:rFonts w:ascii="Roboto" w:eastAsia="Roboto" w:hAnsi="Roboto" w:cs="Roboto"/>
          <w:sz w:val="22"/>
          <w:szCs w:val="22"/>
        </w:rPr>
      </w:pPr>
      <w:r>
        <w:rPr>
          <w:rFonts w:ascii="Roboto" w:eastAsia="Roboto" w:hAnsi="Roboto" w:cs="Roboto"/>
          <w:sz w:val="22"/>
          <w:szCs w:val="22"/>
        </w:rPr>
        <w:t xml:space="preserve">La Entidad Nacional de Acreditación – ENAC – es la entidad designada por el Gobierno para operar en España como el único Organismo Nacional de Acreditación, en aplicación del Reglamento (CE) nº765/2008 del Parlamento Europeo que regula el funcionamiento de la acreditación en Europa. </w:t>
      </w:r>
    </w:p>
    <w:p w14:paraId="00000011" w14:textId="77777777" w:rsidR="00144A29" w:rsidRDefault="00144A29">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59" w:lineRule="auto"/>
        <w:jc w:val="both"/>
        <w:rPr>
          <w:rFonts w:ascii="Roboto" w:eastAsia="Roboto" w:hAnsi="Roboto" w:cs="Roboto"/>
          <w:sz w:val="22"/>
          <w:szCs w:val="22"/>
        </w:rPr>
      </w:pPr>
    </w:p>
    <w:p w14:paraId="00000012" w14:textId="77777777" w:rsidR="00144A29" w:rsidRDefault="00AF6BD0">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59" w:lineRule="auto"/>
        <w:jc w:val="both"/>
        <w:rPr>
          <w:rFonts w:ascii="Roboto" w:eastAsia="Roboto" w:hAnsi="Roboto" w:cs="Roboto"/>
          <w:sz w:val="22"/>
          <w:szCs w:val="22"/>
        </w:rPr>
      </w:pPr>
      <w:r>
        <w:rPr>
          <w:rFonts w:ascii="Roboto" w:eastAsia="Roboto" w:hAnsi="Roboto" w:cs="Roboto"/>
          <w:sz w:val="22"/>
          <w:szCs w:val="22"/>
        </w:rPr>
        <w:t xml:space="preserve">ENAC tiene como misión generar confianza en el mercado y en la sociedad evaluando, a través de un sistema conforme a normas internacionales, la competencia técnica de laboratorios de ensayo o calibración, entidades de inspección, entidades de certificación y verificadores medioambientales que desarrollen su actividad en cualquier sector: industria,  energía, medio ambiente, sanidad, alimentación, investigación, desarrollo e innovación, transportes, telecomunicaciones, turismo, servicios, construcción, etc. Contribuye, así, a la seguridad y el bienestar de las personas, la calidad de los productos y servicios, la protección del medioambiente y, con ello, al aumento de la competitividad de los productos y servicios españoles y a una disminución de los costes para la sociedad debidos a estas actividades.  </w:t>
      </w:r>
    </w:p>
    <w:p w14:paraId="00000013" w14:textId="77777777" w:rsidR="00144A29" w:rsidRDefault="00144A29">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59" w:lineRule="auto"/>
        <w:jc w:val="both"/>
        <w:rPr>
          <w:rFonts w:ascii="Roboto" w:eastAsia="Roboto" w:hAnsi="Roboto" w:cs="Roboto"/>
          <w:sz w:val="22"/>
          <w:szCs w:val="22"/>
        </w:rPr>
      </w:pPr>
    </w:p>
    <w:p w14:paraId="00000014" w14:textId="77777777" w:rsidR="00144A29" w:rsidRDefault="00AF6BD0">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59" w:lineRule="auto"/>
        <w:jc w:val="both"/>
        <w:rPr>
          <w:rFonts w:ascii="Roboto" w:eastAsia="Roboto" w:hAnsi="Roboto" w:cs="Roboto"/>
          <w:sz w:val="22"/>
          <w:szCs w:val="22"/>
        </w:rPr>
      </w:pPr>
      <w:r>
        <w:rPr>
          <w:rFonts w:ascii="Roboto" w:eastAsia="Roboto" w:hAnsi="Roboto" w:cs="Roboto"/>
          <w:sz w:val="22"/>
          <w:szCs w:val="22"/>
        </w:rPr>
        <w:t xml:space="preserve">La marca ENAC es la manera de distinguir si un certificado o informe está acreditado o no. Aporta confianza en que la organización que lo emite es técnicamente competente para llevar a cabo la tarea que realiza, y lo es tanto en España como en los 120 países en los que la marca de ENAC es reconocida y aceptada gracias a los acuerdos de reconocimiento que ENAC ha suscrito con las entidades de acreditación de esos países. </w:t>
      </w:r>
    </w:p>
    <w:p w14:paraId="00000015" w14:textId="77777777" w:rsidR="00144A29" w:rsidRDefault="00144A29">
      <w:pPr>
        <w:jc w:val="both"/>
        <w:rPr>
          <w:rFonts w:ascii="Roboto" w:eastAsia="Roboto" w:hAnsi="Roboto" w:cs="Roboto"/>
          <w:sz w:val="22"/>
          <w:szCs w:val="22"/>
        </w:rPr>
      </w:pPr>
    </w:p>
    <w:p w14:paraId="00000016" w14:textId="77777777" w:rsidR="00144A29" w:rsidRDefault="00AF6BD0">
      <w:pPr>
        <w:pBdr>
          <w:bottom w:val="single" w:sz="12" w:space="1" w:color="000000"/>
        </w:pBdr>
        <w:jc w:val="both"/>
        <w:rPr>
          <w:rFonts w:ascii="Roboto" w:eastAsia="Roboto" w:hAnsi="Roboto" w:cs="Roboto"/>
          <w:color w:val="E83544"/>
          <w:sz w:val="22"/>
          <w:szCs w:val="22"/>
        </w:rPr>
      </w:pPr>
      <w:hyperlink r:id="rId12">
        <w:r>
          <w:rPr>
            <w:rFonts w:ascii="Roboto" w:eastAsia="Roboto" w:hAnsi="Roboto" w:cs="Roboto"/>
            <w:color w:val="E83544"/>
            <w:sz w:val="22"/>
            <w:szCs w:val="22"/>
            <w:u w:val="single"/>
          </w:rPr>
          <w:t>www.enac.es</w:t>
        </w:r>
      </w:hyperlink>
      <w:r>
        <w:rPr>
          <w:rFonts w:ascii="Roboto" w:eastAsia="Roboto" w:hAnsi="Roboto" w:cs="Roboto"/>
          <w:color w:val="E83544"/>
          <w:sz w:val="22"/>
          <w:szCs w:val="22"/>
        </w:rPr>
        <w:t xml:space="preserve"> </w:t>
      </w:r>
    </w:p>
    <w:p w14:paraId="00000017" w14:textId="77777777" w:rsidR="00144A29" w:rsidRDefault="00144A29">
      <w:pPr>
        <w:pBdr>
          <w:bottom w:val="single" w:sz="12" w:space="1" w:color="000000"/>
        </w:pBdr>
        <w:jc w:val="both"/>
        <w:rPr>
          <w:rFonts w:ascii="Roboto" w:eastAsia="Roboto" w:hAnsi="Roboto" w:cs="Roboto"/>
          <w:color w:val="E83544"/>
          <w:sz w:val="22"/>
          <w:szCs w:val="22"/>
        </w:rPr>
      </w:pPr>
    </w:p>
    <w:p w14:paraId="00000018" w14:textId="77777777" w:rsidR="00144A29" w:rsidRDefault="00AF6BD0">
      <w:pPr>
        <w:pBdr>
          <w:bottom w:val="single" w:sz="12" w:space="1" w:color="000000"/>
        </w:pBdr>
        <w:jc w:val="both"/>
        <w:rPr>
          <w:rFonts w:ascii="Roboto" w:eastAsia="Roboto" w:hAnsi="Roboto" w:cs="Roboto"/>
          <w:sz w:val="22"/>
          <w:szCs w:val="22"/>
        </w:rPr>
      </w:pPr>
      <w:r>
        <w:rPr>
          <w:rFonts w:ascii="Roboto" w:eastAsia="Roboto" w:hAnsi="Roboto" w:cs="Roboto"/>
          <w:color w:val="0000FF"/>
          <w:sz w:val="22"/>
          <w:szCs w:val="22"/>
        </w:rPr>
        <w:t xml:space="preserve">  </w:t>
      </w:r>
      <w:r>
        <w:rPr>
          <w:rFonts w:ascii="Roboto" w:eastAsia="Roboto" w:hAnsi="Roboto" w:cs="Roboto"/>
          <w:noProof/>
          <w:color w:val="0000FF"/>
          <w:sz w:val="22"/>
          <w:szCs w:val="22"/>
        </w:rPr>
        <w:drawing>
          <wp:inline distT="0" distB="0" distL="0" distR="0" wp14:anchorId="428FDB22" wp14:editId="23D68038">
            <wp:extent cx="304800" cy="3048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304800" cy="304800"/>
                    </a:xfrm>
                    <a:prstGeom prst="rect">
                      <a:avLst/>
                    </a:prstGeom>
                    <a:ln/>
                  </pic:spPr>
                </pic:pic>
              </a:graphicData>
            </a:graphic>
          </wp:inline>
        </w:drawing>
      </w:r>
    </w:p>
    <w:p w14:paraId="00000019" w14:textId="77777777" w:rsidR="00144A29" w:rsidRDefault="00144A29">
      <w:pPr>
        <w:pBdr>
          <w:bottom w:val="single" w:sz="12" w:space="1" w:color="000000"/>
        </w:pBdr>
        <w:jc w:val="both"/>
        <w:rPr>
          <w:rFonts w:ascii="Roboto" w:eastAsia="Roboto" w:hAnsi="Roboto" w:cs="Roboto"/>
          <w:color w:val="E83544"/>
          <w:sz w:val="22"/>
          <w:szCs w:val="22"/>
        </w:rPr>
      </w:pPr>
    </w:p>
    <w:p w14:paraId="0000001A" w14:textId="77777777" w:rsidR="00144A29" w:rsidRDefault="00144A29">
      <w:pPr>
        <w:jc w:val="both"/>
        <w:rPr>
          <w:rFonts w:ascii="Roboto" w:eastAsia="Roboto" w:hAnsi="Roboto" w:cs="Roboto"/>
          <w:color w:val="E83544"/>
          <w:sz w:val="22"/>
          <w:szCs w:val="22"/>
        </w:rPr>
      </w:pPr>
    </w:p>
    <w:p w14:paraId="0000001B" w14:textId="77777777" w:rsidR="00144A29" w:rsidRDefault="00AF6BD0">
      <w:pPr>
        <w:jc w:val="both"/>
        <w:rPr>
          <w:rFonts w:ascii="Roboto" w:eastAsia="Roboto" w:hAnsi="Roboto" w:cs="Roboto"/>
          <w:sz w:val="22"/>
          <w:szCs w:val="22"/>
        </w:rPr>
      </w:pPr>
      <w:r>
        <w:rPr>
          <w:rFonts w:ascii="Roboto" w:eastAsia="Roboto" w:hAnsi="Roboto" w:cs="Roboto"/>
          <w:sz w:val="22"/>
          <w:szCs w:val="22"/>
        </w:rPr>
        <w:t>Para más información sobre la nota de prensa, resolver dudas o gestionar entrevistas</w:t>
      </w:r>
    </w:p>
    <w:p w14:paraId="0000001C" w14:textId="77777777" w:rsidR="00144A29" w:rsidRDefault="00AF6BD0">
      <w:pPr>
        <w:jc w:val="both"/>
        <w:rPr>
          <w:rFonts w:ascii="Roboto" w:eastAsia="Roboto" w:hAnsi="Roboto" w:cs="Roboto"/>
          <w:sz w:val="22"/>
          <w:szCs w:val="22"/>
        </w:rPr>
      </w:pPr>
      <w:r>
        <w:rPr>
          <w:rFonts w:ascii="Roboto" w:eastAsia="Roboto" w:hAnsi="Roboto" w:cs="Roboto"/>
          <w:sz w:val="22"/>
          <w:szCs w:val="22"/>
        </w:rPr>
        <w:t>Eva Martín</w:t>
      </w:r>
    </w:p>
    <w:p w14:paraId="0000001D" w14:textId="77777777" w:rsidR="00144A29" w:rsidRDefault="00AF6BD0">
      <w:pPr>
        <w:jc w:val="both"/>
        <w:rPr>
          <w:rFonts w:ascii="Roboto" w:eastAsia="Roboto" w:hAnsi="Roboto" w:cs="Roboto"/>
          <w:sz w:val="22"/>
          <w:szCs w:val="22"/>
        </w:rPr>
      </w:pPr>
      <w:r>
        <w:rPr>
          <w:rFonts w:ascii="Roboto" w:eastAsia="Roboto" w:hAnsi="Roboto" w:cs="Roboto"/>
          <w:sz w:val="22"/>
          <w:szCs w:val="22"/>
        </w:rPr>
        <w:t xml:space="preserve">Tfno. 628 17 49 01 / </w:t>
      </w:r>
      <w:r>
        <w:rPr>
          <w:rFonts w:ascii="Roboto" w:eastAsia="Roboto" w:hAnsi="Roboto" w:cs="Roboto"/>
          <w:color w:val="E83544"/>
          <w:sz w:val="22"/>
          <w:szCs w:val="22"/>
        </w:rPr>
        <w:t xml:space="preserve"> </w:t>
      </w:r>
      <w:hyperlink r:id="rId14">
        <w:r>
          <w:rPr>
            <w:rFonts w:ascii="Roboto" w:eastAsia="Roboto" w:hAnsi="Roboto" w:cs="Roboto"/>
            <w:color w:val="E83544"/>
            <w:sz w:val="22"/>
            <w:szCs w:val="22"/>
            <w:u w:val="single"/>
          </w:rPr>
          <w:t>evamc@varenga.es</w:t>
        </w:r>
      </w:hyperlink>
    </w:p>
    <w:p w14:paraId="0000001E" w14:textId="77777777" w:rsidR="00144A29" w:rsidRDefault="00144A29"/>
    <w:p w14:paraId="0000001F" w14:textId="77777777" w:rsidR="00144A29" w:rsidRDefault="00144A29"/>
    <w:p w14:paraId="00000020" w14:textId="77777777" w:rsidR="00144A29" w:rsidRDefault="00144A29">
      <w:pPr>
        <w:pBdr>
          <w:top w:val="nil"/>
          <w:left w:val="nil"/>
          <w:bottom w:val="nil"/>
          <w:right w:val="nil"/>
          <w:between w:val="nil"/>
        </w:pBdr>
        <w:rPr>
          <w:rFonts w:ascii="Calibri" w:eastAsia="Calibri" w:hAnsi="Calibri" w:cs="Calibri"/>
          <w:highlight w:val="white"/>
        </w:rPr>
      </w:pPr>
    </w:p>
    <w:sectPr w:rsidR="00144A29">
      <w:headerReference w:type="even" r:id="rId15"/>
      <w:headerReference w:type="default" r:id="rId16"/>
      <w:footerReference w:type="even" r:id="rId17"/>
      <w:footerReference w:type="default" r:id="rId18"/>
      <w:headerReference w:type="first" r:id="rId19"/>
      <w:footerReference w:type="first" r:id="rId20"/>
      <w:pgSz w:w="11906" w:h="16838"/>
      <w:pgMar w:top="1417" w:right="1701" w:bottom="1276"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8AF03" w14:textId="77777777" w:rsidR="00686117" w:rsidRDefault="00686117">
      <w:r>
        <w:separator/>
      </w:r>
    </w:p>
  </w:endnote>
  <w:endnote w:type="continuationSeparator" w:id="0">
    <w:p w14:paraId="5F9EA383" w14:textId="77777777" w:rsidR="00686117" w:rsidRDefault="00686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417BC3A6-F00E-4E7B-A2CB-58887276EC8E}"/>
  </w:font>
  <w:font w:name="Roboto">
    <w:altName w:val="Arial"/>
    <w:charset w:val="00"/>
    <w:family w:val="auto"/>
    <w:pitch w:val="variable"/>
    <w:sig w:usb0="E0000AFF" w:usb1="5000217F" w:usb2="00000021" w:usb3="00000000" w:csb0="0000019F" w:csb1="00000000"/>
    <w:embedRegular r:id="rId2" w:fontKey="{09AC72A6-8BFF-47D4-B5F1-91A1CE89C611}"/>
    <w:embedBold r:id="rId3" w:fontKey="{E444A3FA-3461-40AA-A2C3-62F118B84947}"/>
  </w:font>
  <w:font w:name="Calibri">
    <w:panose1 w:val="020F0502020204030204"/>
    <w:charset w:val="00"/>
    <w:family w:val="swiss"/>
    <w:pitch w:val="variable"/>
    <w:sig w:usb0="E4002EFF" w:usb1="C200247B" w:usb2="00000009" w:usb3="00000000" w:csb0="000001FF" w:csb1="00000000"/>
    <w:embedRegular r:id="rId4" w:fontKey="{EA9F2369-66F2-4F78-8722-72A17CFCE0FA}"/>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5" w:fontKey="{33A7DF99-B273-461F-9E66-EDCCEFBB1833}"/>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8" w14:textId="77777777" w:rsidR="00144A29" w:rsidRDefault="00144A29">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9" w14:textId="57C4C7ED" w:rsidR="00144A29" w:rsidRDefault="00AF6BD0">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sidR="00687B98">
      <w:rPr>
        <w:noProof/>
        <w:color w:val="000000"/>
      </w:rPr>
      <w:t>1</w:t>
    </w:r>
    <w:r>
      <w:rPr>
        <w:color w:val="000000"/>
      </w:rPr>
      <w:fldChar w:fldCharType="end"/>
    </w:r>
  </w:p>
  <w:p w14:paraId="0000002A" w14:textId="77777777" w:rsidR="00144A29" w:rsidRDefault="00144A29">
    <w:pPr>
      <w:pBdr>
        <w:top w:val="nil"/>
        <w:left w:val="nil"/>
        <w:bottom w:val="nil"/>
        <w:right w:val="nil"/>
        <w:between w:val="nil"/>
      </w:pBdr>
      <w:tabs>
        <w:tab w:val="center" w:pos="4252"/>
        <w:tab w:val="right" w:pos="8504"/>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B" w14:textId="77777777" w:rsidR="00144A29" w:rsidRDefault="00144A29">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30CE2" w14:textId="77777777" w:rsidR="00686117" w:rsidRDefault="00686117">
      <w:r>
        <w:separator/>
      </w:r>
    </w:p>
  </w:footnote>
  <w:footnote w:type="continuationSeparator" w:id="0">
    <w:p w14:paraId="2556CB0D" w14:textId="77777777" w:rsidR="00686117" w:rsidRDefault="006861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1" w14:textId="77777777" w:rsidR="00144A29" w:rsidRDefault="00144A29">
    <w:pPr>
      <w:pBdr>
        <w:top w:val="nil"/>
        <w:left w:val="nil"/>
        <w:bottom w:val="nil"/>
        <w:right w:val="nil"/>
        <w:between w:val="nil"/>
      </w:pBdr>
      <w:tabs>
        <w:tab w:val="center" w:pos="4252"/>
        <w:tab w:val="right" w:pos="8504"/>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2" w14:textId="77777777" w:rsidR="00144A29" w:rsidRDefault="00AF6BD0">
    <w:pPr>
      <w:spacing w:line="276" w:lineRule="auto"/>
    </w:pPr>
    <w:r>
      <w:t xml:space="preserve">                                                                           </w:t>
    </w:r>
    <w:r>
      <w:rPr>
        <w:noProof/>
      </w:rPr>
      <w:drawing>
        <wp:anchor distT="0" distB="0" distL="0" distR="0" simplePos="0" relativeHeight="251658240" behindDoc="0" locked="0" layoutInCell="1" hidden="0" allowOverlap="1" wp14:anchorId="7701A827" wp14:editId="159CC8C5">
          <wp:simplePos x="0" y="0"/>
          <wp:positionH relativeFrom="column">
            <wp:posOffset>19050</wp:posOffset>
          </wp:positionH>
          <wp:positionV relativeFrom="paragraph">
            <wp:posOffset>19050</wp:posOffset>
          </wp:positionV>
          <wp:extent cx="1240365" cy="805879"/>
          <wp:effectExtent l="0" t="0" r="0" b="0"/>
          <wp:wrapNone/>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240365" cy="805879"/>
                  </a:xfrm>
                  <a:prstGeom prst="rect">
                    <a:avLst/>
                  </a:prstGeom>
                  <a:ln/>
                </pic:spPr>
              </pic:pic>
            </a:graphicData>
          </a:graphic>
        </wp:anchor>
      </w:drawing>
    </w:r>
    <w:r>
      <w:rPr>
        <w:noProof/>
      </w:rPr>
      <w:drawing>
        <wp:anchor distT="0" distB="0" distL="0" distR="0" simplePos="0" relativeHeight="251658241" behindDoc="0" locked="0" layoutInCell="1" hidden="0" allowOverlap="1" wp14:anchorId="3ACEF6EC" wp14:editId="30E38EE8">
          <wp:simplePos x="0" y="0"/>
          <wp:positionH relativeFrom="column">
            <wp:posOffset>4152900</wp:posOffset>
          </wp:positionH>
          <wp:positionV relativeFrom="paragraph">
            <wp:posOffset>142875</wp:posOffset>
          </wp:positionV>
          <wp:extent cx="1157297" cy="684798"/>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t="-8" b="-8"/>
                  <a:stretch>
                    <a:fillRect/>
                  </a:stretch>
                </pic:blipFill>
                <pic:spPr>
                  <a:xfrm>
                    <a:off x="0" y="0"/>
                    <a:ext cx="1157297" cy="684798"/>
                  </a:xfrm>
                  <a:prstGeom prst="rect">
                    <a:avLst/>
                  </a:prstGeom>
                  <a:ln/>
                </pic:spPr>
              </pic:pic>
            </a:graphicData>
          </a:graphic>
        </wp:anchor>
      </w:drawing>
    </w:r>
  </w:p>
  <w:p w14:paraId="00000023" w14:textId="77777777" w:rsidR="00144A29" w:rsidRDefault="00144A29">
    <w:pPr>
      <w:spacing w:line="276" w:lineRule="auto"/>
    </w:pPr>
  </w:p>
  <w:p w14:paraId="00000024" w14:textId="77777777" w:rsidR="00144A29" w:rsidRDefault="00144A29">
    <w:pPr>
      <w:spacing w:line="276" w:lineRule="auto"/>
    </w:pPr>
  </w:p>
  <w:p w14:paraId="00000025" w14:textId="77777777" w:rsidR="00144A29" w:rsidRDefault="00144A29">
    <w:pPr>
      <w:spacing w:line="276" w:lineRule="auto"/>
    </w:pPr>
  </w:p>
  <w:p w14:paraId="00000026" w14:textId="77777777" w:rsidR="00144A29" w:rsidRDefault="00144A29">
    <w:pPr>
      <w:spacing w:line="276"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7" w14:textId="77777777" w:rsidR="00144A29" w:rsidRDefault="00144A29">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7A4230"/>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27889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A29"/>
    <w:rsid w:val="00035A65"/>
    <w:rsid w:val="00144A29"/>
    <w:rsid w:val="00166850"/>
    <w:rsid w:val="001B073F"/>
    <w:rsid w:val="001D337D"/>
    <w:rsid w:val="00231E1A"/>
    <w:rsid w:val="002C6FD2"/>
    <w:rsid w:val="003337A5"/>
    <w:rsid w:val="003E2DBE"/>
    <w:rsid w:val="00466951"/>
    <w:rsid w:val="004C4867"/>
    <w:rsid w:val="004F00A8"/>
    <w:rsid w:val="005772D3"/>
    <w:rsid w:val="00686117"/>
    <w:rsid w:val="00687B98"/>
    <w:rsid w:val="00691CF0"/>
    <w:rsid w:val="006B35E7"/>
    <w:rsid w:val="006C5B3C"/>
    <w:rsid w:val="00716876"/>
    <w:rsid w:val="00733A68"/>
    <w:rsid w:val="00745B7B"/>
    <w:rsid w:val="00813707"/>
    <w:rsid w:val="00827C00"/>
    <w:rsid w:val="00873488"/>
    <w:rsid w:val="0089062C"/>
    <w:rsid w:val="009207EC"/>
    <w:rsid w:val="009B563F"/>
    <w:rsid w:val="009B7DC4"/>
    <w:rsid w:val="00A4753D"/>
    <w:rsid w:val="00AA72D8"/>
    <w:rsid w:val="00AF6BD0"/>
    <w:rsid w:val="00B16B35"/>
    <w:rsid w:val="00B227FC"/>
    <w:rsid w:val="00B33FBE"/>
    <w:rsid w:val="00B518E0"/>
    <w:rsid w:val="00BA4A90"/>
    <w:rsid w:val="00C53AE8"/>
    <w:rsid w:val="00C7516C"/>
    <w:rsid w:val="00D367CB"/>
    <w:rsid w:val="00D53A25"/>
    <w:rsid w:val="00D8535D"/>
    <w:rsid w:val="00E11808"/>
    <w:rsid w:val="00E16D0D"/>
    <w:rsid w:val="00E31F74"/>
    <w:rsid w:val="00E42295"/>
    <w:rsid w:val="00E65490"/>
    <w:rsid w:val="00E8250E"/>
    <w:rsid w:val="00E85B79"/>
    <w:rsid w:val="00EC05F5"/>
    <w:rsid w:val="00EE449A"/>
    <w:rsid w:val="00F07BCB"/>
    <w:rsid w:val="00F17282"/>
    <w:rsid w:val="00F17A3E"/>
    <w:rsid w:val="00F644E5"/>
    <w:rsid w:val="00F679B6"/>
    <w:rsid w:val="00F730E0"/>
    <w:rsid w:val="00FB1889"/>
    <w:rsid w:val="00FC56C1"/>
    <w:rsid w:val="05569E8D"/>
    <w:rsid w:val="0B16A71D"/>
    <w:rsid w:val="10639F3D"/>
    <w:rsid w:val="1547763F"/>
    <w:rsid w:val="17848CE1"/>
    <w:rsid w:val="1832538F"/>
    <w:rsid w:val="1972FE8D"/>
    <w:rsid w:val="1A89A744"/>
    <w:rsid w:val="1DB2BBD7"/>
    <w:rsid w:val="2391E48C"/>
    <w:rsid w:val="3A169352"/>
    <w:rsid w:val="3E16A19F"/>
    <w:rsid w:val="43ADC55B"/>
    <w:rsid w:val="455DE866"/>
    <w:rsid w:val="464C67E0"/>
    <w:rsid w:val="579C6D43"/>
    <w:rsid w:val="63A8B910"/>
    <w:rsid w:val="63B62AD8"/>
    <w:rsid w:val="6800218E"/>
    <w:rsid w:val="718DD937"/>
    <w:rsid w:val="77B55145"/>
    <w:rsid w:val="7B548882"/>
    <w:rsid w:val="7D90DEC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369A0D"/>
  <w15:docId w15:val="{FE54DD6E-0F48-47D1-B562-BA31FB4F8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Encabezado">
    <w:name w:val="header"/>
    <w:basedOn w:val="Normal"/>
    <w:link w:val="EncabezadoCar"/>
    <w:uiPriority w:val="99"/>
    <w:semiHidden/>
    <w:unhideWhenUsed/>
    <w:rsid w:val="00E65490"/>
    <w:pPr>
      <w:tabs>
        <w:tab w:val="center" w:pos="4680"/>
        <w:tab w:val="right" w:pos="9360"/>
      </w:tabs>
    </w:pPr>
  </w:style>
  <w:style w:type="character" w:customStyle="1" w:styleId="EncabezadoCar">
    <w:name w:val="Encabezado Car"/>
    <w:basedOn w:val="Fuentedeprrafopredeter"/>
    <w:link w:val="Encabezado"/>
    <w:uiPriority w:val="99"/>
    <w:semiHidden/>
    <w:rsid w:val="00A4753D"/>
  </w:style>
  <w:style w:type="paragraph" w:styleId="Piedepgina">
    <w:name w:val="footer"/>
    <w:basedOn w:val="Normal"/>
    <w:link w:val="PiedepginaCar"/>
    <w:uiPriority w:val="99"/>
    <w:semiHidden/>
    <w:unhideWhenUsed/>
    <w:rsid w:val="00E65490"/>
    <w:pPr>
      <w:tabs>
        <w:tab w:val="center" w:pos="4680"/>
        <w:tab w:val="right" w:pos="9360"/>
      </w:tabs>
    </w:pPr>
  </w:style>
  <w:style w:type="character" w:customStyle="1" w:styleId="PiedepginaCar">
    <w:name w:val="Pie de página Car"/>
    <w:basedOn w:val="Fuentedeprrafopredeter"/>
    <w:link w:val="Piedepgina"/>
    <w:uiPriority w:val="99"/>
    <w:semiHidden/>
    <w:rsid w:val="00A4753D"/>
  </w:style>
  <w:style w:type="paragraph" w:styleId="Revisin">
    <w:name w:val="Revision"/>
    <w:hidden/>
    <w:uiPriority w:val="99"/>
    <w:semiHidden/>
    <w:rsid w:val="009B563F"/>
  </w:style>
  <w:style w:type="character" w:styleId="Textodelmarcadordeposicin">
    <w:name w:val="Placeholder Text"/>
    <w:basedOn w:val="Fuentedeprrafopredeter"/>
    <w:uiPriority w:val="99"/>
    <w:semiHidden/>
    <w:rsid w:val="1DB2BBD7"/>
    <w:rPr>
      <w:color w:val="666666"/>
    </w:rPr>
  </w:style>
  <w:style w:type="character" w:styleId="Hipervnculo">
    <w:name w:val="Hyperlink"/>
    <w:basedOn w:val="Fuentedeprrafopredeter"/>
    <w:uiPriority w:val="99"/>
    <w:unhideWhenUsed/>
    <w:rsid w:val="1DB2BB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enac.e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nac.e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vamc@varenga.es"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e290ce1-b2e7-4ccb-948d-a290ef611fa1">
      <Terms xmlns="http://schemas.microsoft.com/office/infopath/2007/PartnerControls"/>
    </lcf76f155ced4ddcb4097134ff3c332f>
    <TaxCatchAll xmlns="909e21e3-a2e2-47ca-be0e-9c3a9bef9292" xsi:nil="true"/>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WE+40dW8LyDb/0LGT8YQi3yk4A==">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</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o" ma:contentTypeID="0x0101009152DE15686E4843A3780C010A78B13A" ma:contentTypeVersion="16" ma:contentTypeDescription="Crear nuevo documento." ma:contentTypeScope="" ma:versionID="35b7714a55062d14d892f3522112704a">
  <xsd:schema xmlns:xsd="http://www.w3.org/2001/XMLSchema" xmlns:xs="http://www.w3.org/2001/XMLSchema" xmlns:p="http://schemas.microsoft.com/office/2006/metadata/properties" xmlns:ns2="6e290ce1-b2e7-4ccb-948d-a290ef611fa1" xmlns:ns3="909e21e3-a2e2-47ca-be0e-9c3a9bef9292" targetNamespace="http://schemas.microsoft.com/office/2006/metadata/properties" ma:root="true" ma:fieldsID="92a12215dc0792136b523b9589aa527d" ns2:_="" ns3:_="">
    <xsd:import namespace="6e290ce1-b2e7-4ccb-948d-a290ef611fa1"/>
    <xsd:import namespace="909e21e3-a2e2-47ca-be0e-9c3a9bef929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290ce1-b2e7-4ccb-948d-a290ef611f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45c5079e-b5d9-4f40-8558-acc8d9d79a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9e21e3-a2e2-47ca-be0e-9c3a9bef9292" elementFormDefault="qualified">
    <xsd:import namespace="http://schemas.microsoft.com/office/2006/documentManagement/types"/>
    <xsd:import namespace="http://schemas.microsoft.com/office/infopath/2007/PartnerControls"/>
    <xsd:element name="SharedWithUsers" ma:index="14"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36efcf77-0706-4f8e-b256-a6b4bd8b1840}" ma:internalName="TaxCatchAll" ma:showField="CatchAllData" ma:web="909e21e3-a2e2-47ca-be0e-9c3a9bef92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F786DA-4D09-443E-B591-C4734E3868EA}">
  <ds:schemaRefs>
    <ds:schemaRef ds:uri="http://schemas.microsoft.com/office/2006/metadata/properties"/>
    <ds:schemaRef ds:uri="http://schemas.microsoft.com/office/infopath/2007/PartnerControls"/>
    <ds:schemaRef ds:uri="6e290ce1-b2e7-4ccb-948d-a290ef611fa1"/>
    <ds:schemaRef ds:uri="909e21e3-a2e2-47ca-be0e-9c3a9bef9292"/>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1CA5D5AF-483D-40F3-B57A-D750E7B4F5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290ce1-b2e7-4ccb-948d-a290ef611fa1"/>
    <ds:schemaRef ds:uri="909e21e3-a2e2-47ca-be0e-9c3a9bef92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0283D4-C042-4F8E-9B57-96E28E84C9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764</Words>
  <Characters>4203</Characters>
  <Application>Microsoft Office Word</Application>
  <DocSecurity>0</DocSecurity>
  <Lines>35</Lines>
  <Paragraphs>9</Paragraphs>
  <ScaleCrop>false</ScaleCrop>
  <Company/>
  <LinksUpToDate>false</LinksUpToDate>
  <CharactersWithSpaces>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Elena Lendinez Leal</cp:lastModifiedBy>
  <cp:revision>14</cp:revision>
  <dcterms:created xsi:type="dcterms:W3CDTF">2026-06-16T06:22:00Z</dcterms:created>
  <dcterms:modified xsi:type="dcterms:W3CDTF">2026-07-07T09:24:00Z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0x0101009152DE15686E4843A3780C010A78B13A</vt:lpwstr>
  </property>
  <property fmtid="{D5CDD505-2E9C-101B-9397-08002B2CF9AE}" pid="3" name="MediaServiceImageTags">
    <vt:lpwstr>MediaServiceImageTags</vt:lpwstr>
  </property>
</Properties>
</file>