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E642D2" w:rsidRDefault="008A58E0" w14:paraId="00000001" w14:textId="77777777">
      <w:pPr>
        <w:pStyle w:val="Normal2"/>
        <w:spacing w:line="276" w:lineRule="auto"/>
        <w:jc w:val="center"/>
        <w:rPr>
          <w:rFonts w:ascii="Roboto" w:hAnsi="Roboto" w:eastAsia="Roboto" w:cs="Roboto"/>
          <w:sz w:val="22"/>
          <w:szCs w:val="22"/>
        </w:rPr>
      </w:pPr>
      <w:r>
        <w:rPr>
          <w:rFonts w:ascii="Roboto" w:hAnsi="Roboto" w:eastAsia="Roboto" w:cs="Roboto"/>
          <w:b/>
          <w:bCs/>
          <w:sz w:val="40"/>
          <w:szCs w:val="40"/>
        </w:rPr>
        <w:t>NOTA DE PRENSA</w:t>
      </w:r>
      <w:r>
        <w:rPr>
          <w:rFonts w:ascii="Roboto" w:hAnsi="Roboto" w:eastAsia="Roboto" w:cs="Roboto"/>
          <w:sz w:val="22"/>
          <w:szCs w:val="22"/>
        </w:rPr>
        <w:t xml:space="preserve"> </w:t>
      </w:r>
    </w:p>
    <w:p w:rsidR="00E642D2" w:rsidRDefault="00E642D2" w14:paraId="00000002" w14:textId="77777777">
      <w:pPr>
        <w:pStyle w:val="Normal2"/>
        <w:jc w:val="center"/>
        <w:rPr>
          <w:rFonts w:ascii="Roboto" w:hAnsi="Roboto" w:eastAsia="Roboto" w:cs="Roboto"/>
          <w:b/>
          <w:bCs/>
          <w:sz w:val="36"/>
          <w:szCs w:val="36"/>
        </w:rPr>
      </w:pPr>
    </w:p>
    <w:p w:rsidR="00E642D2" w:rsidRDefault="008A58E0" w14:paraId="00000003" w14:textId="77777777">
      <w:pPr>
        <w:pStyle w:val="Normal2"/>
        <w:jc w:val="center"/>
        <w:rPr>
          <w:rFonts w:ascii="Roboto" w:hAnsi="Roboto" w:eastAsia="Roboto" w:cs="Roboto"/>
          <w:b/>
          <w:bCs/>
          <w:sz w:val="36"/>
          <w:szCs w:val="36"/>
        </w:rPr>
      </w:pPr>
      <w:r>
        <w:rPr>
          <w:rFonts w:ascii="Roboto" w:hAnsi="Roboto" w:eastAsia="Roboto" w:cs="Roboto"/>
          <w:b/>
          <w:bCs/>
          <w:sz w:val="36"/>
          <w:szCs w:val="36"/>
        </w:rPr>
        <w:t>ENAC publica una guía para el desarrollo de esquemas de evaluación de la conformidad</w:t>
      </w:r>
    </w:p>
    <w:p w:rsidR="00E642D2" w:rsidRDefault="00E642D2" w14:paraId="00000004" w14:textId="77777777">
      <w:pPr>
        <w:pStyle w:val="Normal2"/>
        <w:spacing w:line="276" w:lineRule="auto"/>
        <w:jc w:val="center"/>
        <w:rPr>
          <w:rFonts w:ascii="Arial" w:hAnsi="Arial" w:eastAsia="Arial" w:cs="Arial"/>
          <w:b/>
          <w:bCs/>
          <w:sz w:val="32"/>
          <w:szCs w:val="32"/>
        </w:rPr>
      </w:pPr>
    </w:p>
    <w:p w:rsidR="00E642D2" w:rsidRDefault="008A58E0" w14:paraId="00000005" w14:textId="77777777">
      <w:pPr>
        <w:pStyle w:val="Normal2"/>
        <w:numPr>
          <w:ilvl w:val="0"/>
          <w:numId w:val="2"/>
        </w:numPr>
        <w:jc w:val="both"/>
        <w:rPr>
          <w:rFonts w:ascii="Roboto" w:hAnsi="Roboto" w:eastAsia="Roboto" w:cs="Roboto"/>
          <w:b/>
          <w:bCs/>
          <w:sz w:val="18"/>
          <w:szCs w:val="18"/>
        </w:rPr>
      </w:pPr>
      <w:r>
        <w:rPr>
          <w:rFonts w:ascii="Roboto" w:hAnsi="Roboto" w:eastAsia="Roboto" w:cs="Roboto"/>
          <w:b/>
          <w:bCs/>
          <w:sz w:val="20"/>
          <w:szCs w:val="20"/>
        </w:rPr>
        <w:t>Con esta publicación, ENAC refuerza su papel de apoyo técnico a organizaciones públicas y privadas que desarrollan esquemas de evaluación, contribuyendo a que estos programas se diseñen sobre bases sólidas y puedan beneficiarse del valor añadido que aporta la acreditación en términos de competencia técnica, fiabilidad y reconocimiento internacional</w:t>
      </w:r>
    </w:p>
    <w:p w:rsidR="00E642D2" w:rsidRDefault="008A58E0" w14:paraId="00000006" w14:textId="77777777">
      <w:pPr>
        <w:pStyle w:val="Normal2"/>
        <w:pBdr>
          <w:top w:val="none" w:color="000000" w:sz="0" w:space="0"/>
          <w:bottom w:val="none" w:color="000000" w:sz="0" w:space="0"/>
          <w:right w:val="none" w:color="000000" w:sz="0" w:space="0"/>
          <w:between w:val="none" w:color="000000" w:sz="0" w:space="0"/>
        </w:pBdr>
        <w:ind w:left="720"/>
        <w:rPr>
          <w:rFonts w:ascii="Roboto" w:hAnsi="Roboto" w:eastAsia="Roboto" w:cs="Roboto"/>
          <w:b/>
          <w:bCs/>
          <w:sz w:val="22"/>
          <w:szCs w:val="22"/>
        </w:rPr>
      </w:pPr>
      <w:r>
        <w:rPr>
          <w:rFonts w:ascii="Roboto" w:hAnsi="Roboto" w:eastAsia="Roboto" w:cs="Roboto"/>
          <w:b/>
          <w:bCs/>
          <w:sz w:val="20"/>
          <w:szCs w:val="20"/>
          <w:highlight w:val="white"/>
        </w:rPr>
        <w:t xml:space="preserve">  </w:t>
      </w:r>
      <w:r>
        <w:rPr>
          <w:rFonts w:ascii="Roboto" w:hAnsi="Roboto" w:eastAsia="Roboto" w:cs="Roboto"/>
          <w:b/>
          <w:bCs/>
          <w:sz w:val="22"/>
          <w:szCs w:val="22"/>
        </w:rPr>
        <w:t xml:space="preserve">  </w:t>
      </w:r>
    </w:p>
    <w:p w:rsidR="00E642D2" w:rsidRDefault="008A58E0" w14:paraId="00000007" w14:textId="1BBA1142">
      <w:pPr>
        <w:pStyle w:val="Normal2"/>
        <w:jc w:val="both"/>
        <w:rPr>
          <w:rFonts w:ascii="Roboto" w:hAnsi="Roboto" w:eastAsia="Roboto" w:cs="Roboto"/>
          <w:sz w:val="22"/>
          <w:szCs w:val="22"/>
        </w:rPr>
      </w:pPr>
      <w:r w:rsidRPr="54EE92C6" w:rsidR="008A58E0">
        <w:rPr>
          <w:rFonts w:ascii="Roboto" w:hAnsi="Roboto" w:eastAsia="Roboto" w:cs="Roboto"/>
          <w:sz w:val="22"/>
          <w:szCs w:val="22"/>
        </w:rPr>
        <w:t>Madrid, 2</w:t>
      </w:r>
      <w:r w:rsidRPr="54EE92C6" w:rsidR="7D717F90">
        <w:rPr>
          <w:rFonts w:ascii="Roboto" w:hAnsi="Roboto" w:eastAsia="Roboto" w:cs="Roboto"/>
          <w:sz w:val="22"/>
          <w:szCs w:val="22"/>
        </w:rPr>
        <w:t>6</w:t>
      </w:r>
      <w:r w:rsidRPr="54EE92C6" w:rsidR="008A58E0">
        <w:rPr>
          <w:rFonts w:ascii="Roboto" w:hAnsi="Roboto" w:eastAsia="Roboto" w:cs="Roboto"/>
          <w:sz w:val="22"/>
          <w:szCs w:val="22"/>
        </w:rPr>
        <w:t xml:space="preserve"> de marzo de 2026.- </w:t>
      </w:r>
      <w:sdt>
        <w:sdtPr>
          <w:id w:val="133631028"/>
          <w:tag w:val="goog_rdk_0"/>
          <w:placeholder>
            <w:docPart w:val="DefaultPlaceholder_1081868574"/>
          </w:placeholder>
        </w:sdtPr>
        <w:sdtContent>
          <w:r w:rsidRPr="54EE92C6" w:rsidR="008A58E0">
            <w:rPr>
              <w:rFonts w:ascii="Roboto" w:hAnsi="Roboto" w:eastAsia="Roboto" w:cs="Roboto"/>
              <w:sz w:val="22"/>
              <w:szCs w:val="22"/>
            </w:rPr>
            <w:t xml:space="preserve">La </w:t>
          </w:r>
          <w:hyperlink r:id="Rfe45aa31185a4f70">
            <w:r w:rsidRPr="54EE92C6" w:rsidR="008A58E0">
              <w:rPr>
                <w:rFonts w:ascii="Roboto" w:hAnsi="Roboto" w:eastAsia="Roboto" w:cs="Roboto"/>
                <w:b w:val="1"/>
                <w:bCs w:val="1"/>
                <w:color w:val="1155CC"/>
                <w:sz w:val="22"/>
                <w:szCs w:val="22"/>
                <w:u w:val="single"/>
              </w:rPr>
              <w:t>Entidad Nacional de Acreditación</w:t>
            </w:r>
          </w:hyperlink>
          <w:r w:rsidRPr="54EE92C6" w:rsidR="008A58E0">
            <w:rPr>
              <w:rFonts w:ascii="Roboto" w:hAnsi="Roboto" w:eastAsia="Roboto" w:cs="Roboto"/>
              <w:sz w:val="22"/>
              <w:szCs w:val="22"/>
            </w:rPr>
            <w:t xml:space="preserve"> (</w:t>
          </w:r>
        </w:sdtContent>
      </w:sdt>
      <w:r w:rsidRPr="54EE92C6" w:rsidR="008A58E0">
        <w:rPr>
          <w:rFonts w:ascii="Roboto" w:hAnsi="Roboto" w:eastAsia="Roboto" w:cs="Roboto"/>
          <w:sz w:val="22"/>
          <w:szCs w:val="22"/>
        </w:rPr>
        <w:t>ENAC</w:t>
      </w:r>
      <w:sdt>
        <w:sdtPr>
          <w:id w:val="-1384591719"/>
          <w:tag w:val="goog_rdk_1"/>
          <w:placeholder>
            <w:docPart w:val="DefaultPlaceholder_1081868574"/>
          </w:placeholder>
        </w:sdtPr>
        <w:sdtContent>
          <w:r w:rsidRPr="54EE92C6" w:rsidR="008A58E0">
            <w:rPr>
              <w:rFonts w:ascii="Roboto" w:hAnsi="Roboto" w:eastAsia="Roboto" w:cs="Roboto"/>
              <w:sz w:val="22"/>
              <w:szCs w:val="22"/>
            </w:rPr>
            <w:t>)</w:t>
          </w:r>
        </w:sdtContent>
      </w:sdt>
      <w:r w:rsidRPr="54EE92C6" w:rsidR="008A58E0">
        <w:rPr>
          <w:rFonts w:ascii="Roboto" w:hAnsi="Roboto" w:eastAsia="Roboto" w:cs="Roboto"/>
          <w:sz w:val="22"/>
          <w:szCs w:val="22"/>
        </w:rPr>
        <w:t xml:space="preserve"> ha publicado una </w:t>
      </w:r>
      <w:hyperlink r:id="R9d910bcf744d4bf7">
        <w:r w:rsidRPr="54EE92C6" w:rsidR="008A58E0">
          <w:rPr>
            <w:rFonts w:ascii="Roboto" w:hAnsi="Roboto" w:eastAsia="Roboto" w:cs="Roboto"/>
            <w:color w:val="1155CC"/>
            <w:sz w:val="22"/>
            <w:szCs w:val="22"/>
            <w:u w:val="single"/>
          </w:rPr>
          <w:t>nueva guía de apoyo al desarrollo de esquemas de evaluación de la conformidad acreditada</w:t>
        </w:r>
      </w:hyperlink>
      <w:r w:rsidRPr="54EE92C6" w:rsidR="008A58E0">
        <w:rPr>
          <w:rFonts w:ascii="Roboto" w:hAnsi="Roboto" w:eastAsia="Roboto" w:cs="Roboto"/>
          <w:sz w:val="22"/>
          <w:szCs w:val="22"/>
        </w:rPr>
        <w:t xml:space="preserve">, un documento </w:t>
      </w:r>
      <w:r w:rsidRPr="54EE92C6" w:rsidR="008A58E0">
        <w:rPr>
          <w:rFonts w:ascii="Roboto" w:hAnsi="Roboto" w:eastAsia="Roboto" w:cs="Roboto"/>
          <w:b w:val="1"/>
          <w:bCs w:val="1"/>
          <w:sz w:val="22"/>
          <w:szCs w:val="22"/>
        </w:rPr>
        <w:t>dirigido a organizaciones que diseñan o gestionan estos esquemas</w:t>
      </w:r>
      <w:r w:rsidRPr="54EE92C6" w:rsidR="008A58E0">
        <w:rPr>
          <w:rFonts w:ascii="Roboto" w:hAnsi="Roboto" w:eastAsia="Roboto" w:cs="Roboto"/>
          <w:sz w:val="22"/>
          <w:szCs w:val="22"/>
        </w:rPr>
        <w:t xml:space="preserve"> y que buscan que estos puedan contar con el respaldo de la acreditación.</w:t>
      </w:r>
    </w:p>
    <w:p w:rsidR="00E642D2" w:rsidRDefault="00E642D2" w14:paraId="00000008" w14:textId="77777777">
      <w:pPr>
        <w:pStyle w:val="Normal2"/>
        <w:jc w:val="both"/>
        <w:rPr>
          <w:rFonts w:ascii="Roboto" w:hAnsi="Roboto" w:eastAsia="Roboto" w:cs="Roboto"/>
          <w:sz w:val="22"/>
          <w:szCs w:val="22"/>
        </w:rPr>
      </w:pPr>
    </w:p>
    <w:p w:rsidR="00E642D2" w:rsidRDefault="008A58E0" w14:paraId="00000009" w14:textId="77777777">
      <w:pPr>
        <w:pStyle w:val="Normal2"/>
        <w:jc w:val="both"/>
        <w:rPr>
          <w:rFonts w:ascii="Roboto" w:hAnsi="Roboto" w:eastAsia="Roboto" w:cs="Roboto"/>
          <w:sz w:val="22"/>
          <w:szCs w:val="22"/>
        </w:rPr>
      </w:pPr>
      <w:r>
        <w:rPr>
          <w:rFonts w:ascii="Roboto" w:hAnsi="Roboto" w:eastAsia="Roboto" w:cs="Roboto"/>
          <w:sz w:val="22"/>
          <w:szCs w:val="22"/>
        </w:rPr>
        <w:t xml:space="preserve">La guía está especialmente orientada a </w:t>
      </w:r>
      <w:r>
        <w:rPr>
          <w:rFonts w:ascii="Roboto" w:hAnsi="Roboto" w:eastAsia="Roboto" w:cs="Roboto"/>
          <w:b/>
          <w:bCs/>
          <w:sz w:val="22"/>
          <w:szCs w:val="22"/>
        </w:rPr>
        <w:t>propietarios o desarrolladores de esquemas, entre los que se encuentran administraciones públicas, normalizadores, empresas, centros tecnológicos, asociaciones profesionales y de consumidores, fabricantes, grandes compradores o distribuidores</w:t>
      </w:r>
      <w:r>
        <w:rPr>
          <w:rFonts w:ascii="Roboto" w:hAnsi="Roboto" w:eastAsia="Roboto" w:cs="Roboto"/>
          <w:sz w:val="22"/>
          <w:szCs w:val="22"/>
        </w:rPr>
        <w:t>, entre otros. Este tipo de organizaciones impulsa cada vez con mayor frecuencia esquemas de certificación, inspección o verificación para evaluar el cumplimiento de determinados requisitos técnicos, regulatorios o de mercado.</w:t>
      </w:r>
    </w:p>
    <w:p w:rsidR="00E642D2" w:rsidRDefault="00E642D2" w14:paraId="0000000A" w14:textId="77777777">
      <w:pPr>
        <w:pStyle w:val="Normal2"/>
        <w:jc w:val="both"/>
        <w:rPr>
          <w:rFonts w:ascii="Roboto" w:hAnsi="Roboto" w:eastAsia="Roboto" w:cs="Roboto"/>
          <w:sz w:val="22"/>
          <w:szCs w:val="22"/>
        </w:rPr>
      </w:pPr>
    </w:p>
    <w:p w:rsidR="00E642D2" w:rsidRDefault="008A58E0" w14:paraId="0000000B" w14:textId="77777777">
      <w:pPr>
        <w:pStyle w:val="Normal2"/>
        <w:jc w:val="both"/>
        <w:rPr>
          <w:rFonts w:ascii="Roboto" w:hAnsi="Roboto" w:eastAsia="Roboto" w:cs="Roboto"/>
          <w:sz w:val="22"/>
          <w:szCs w:val="22"/>
        </w:rPr>
      </w:pPr>
      <w:r>
        <w:rPr>
          <w:rFonts w:ascii="Roboto" w:hAnsi="Roboto" w:eastAsia="Roboto" w:cs="Roboto"/>
          <w:sz w:val="22"/>
          <w:szCs w:val="22"/>
        </w:rPr>
        <w:t>Un esquema de evaluación de la conformidad es un conjunto de requisitos documentados que define qué se va a evaluar (producto, proceso, servicio, organización o persona), qué requisitos debe cumplir, qué método se utilizará para evaluarlo y qué organismos realizarán dicha evaluación.</w:t>
      </w:r>
    </w:p>
    <w:p w:rsidR="00E642D2" w:rsidRDefault="00E642D2" w14:paraId="0000000C" w14:textId="77777777">
      <w:pPr>
        <w:pStyle w:val="Normal2"/>
        <w:jc w:val="both"/>
        <w:rPr>
          <w:rFonts w:ascii="Roboto" w:hAnsi="Roboto" w:eastAsia="Roboto" w:cs="Roboto"/>
          <w:sz w:val="22"/>
          <w:szCs w:val="22"/>
        </w:rPr>
      </w:pPr>
    </w:p>
    <w:p w:rsidR="00E642D2" w:rsidRDefault="008A58E0" w14:paraId="0000000D" w14:textId="77777777">
      <w:pPr>
        <w:pStyle w:val="Normal2"/>
        <w:jc w:val="both"/>
        <w:rPr>
          <w:rFonts w:ascii="Roboto" w:hAnsi="Roboto" w:eastAsia="Roboto" w:cs="Roboto"/>
          <w:sz w:val="22"/>
          <w:szCs w:val="22"/>
        </w:rPr>
      </w:pPr>
      <w:r>
        <w:rPr>
          <w:rFonts w:ascii="Roboto" w:hAnsi="Roboto" w:eastAsia="Roboto" w:cs="Roboto"/>
          <w:sz w:val="22"/>
          <w:szCs w:val="22"/>
        </w:rPr>
        <w:t xml:space="preserve">Para que estos esquemas logren los objetivos es imprescindible asegurarse de que las entidades de evaluación que operen en él dispongan de la </w:t>
      </w:r>
      <w:r>
        <w:rPr>
          <w:rFonts w:ascii="Roboto" w:hAnsi="Roboto" w:eastAsia="Roboto" w:cs="Roboto"/>
          <w:b/>
          <w:bCs/>
          <w:sz w:val="22"/>
          <w:szCs w:val="22"/>
        </w:rPr>
        <w:t>necesaria competencia para ejecutar las tareas que se les encomienda</w:t>
      </w:r>
      <w:r>
        <w:rPr>
          <w:rFonts w:ascii="Roboto" w:hAnsi="Roboto" w:eastAsia="Roboto" w:cs="Roboto"/>
          <w:sz w:val="22"/>
          <w:szCs w:val="22"/>
        </w:rPr>
        <w:t>, que trabajen bajo la adecuada supervisión y, en muchos casos, que sus actividades dispongan de reconocimiento internacional. Para ello, los propietarios de esquemas de todo el mundo, y en todos los sectores, recurren a la acreditación.</w:t>
      </w:r>
    </w:p>
    <w:p w:rsidR="00E642D2" w:rsidRDefault="00E642D2" w14:paraId="0000000E" w14:textId="77777777">
      <w:pPr>
        <w:pStyle w:val="Normal2"/>
        <w:jc w:val="both"/>
        <w:rPr>
          <w:rFonts w:ascii="Roboto" w:hAnsi="Roboto" w:eastAsia="Roboto" w:cs="Roboto"/>
          <w:sz w:val="22"/>
          <w:szCs w:val="22"/>
        </w:rPr>
      </w:pPr>
    </w:p>
    <w:p w:rsidR="00E642D2" w:rsidRDefault="008A58E0" w14:paraId="0000000F" w14:textId="77777777">
      <w:pPr>
        <w:pStyle w:val="Normal2"/>
        <w:jc w:val="both"/>
        <w:rPr>
          <w:rFonts w:ascii="Roboto" w:hAnsi="Roboto" w:eastAsia="Roboto" w:cs="Roboto"/>
          <w:sz w:val="22"/>
          <w:szCs w:val="22"/>
        </w:rPr>
      </w:pPr>
      <w:r>
        <w:rPr>
          <w:rFonts w:ascii="Roboto" w:hAnsi="Roboto" w:eastAsia="Roboto" w:cs="Roboto"/>
          <w:sz w:val="22"/>
          <w:szCs w:val="22"/>
        </w:rPr>
        <w:t>De este modo, si los propietarios desean que las evaluaciones se realicen por organismos acreditados, el esquema debe cumplir determinados criterios técnicos que permitan que los organismos de evaluación de la conformidad que operen en él puedan ser acreditados.</w:t>
      </w:r>
    </w:p>
    <w:p w:rsidR="00E642D2" w:rsidRDefault="00E642D2" w14:paraId="00000010" w14:textId="77777777">
      <w:pPr>
        <w:pStyle w:val="Normal2"/>
        <w:jc w:val="both"/>
        <w:rPr>
          <w:rFonts w:ascii="Roboto" w:hAnsi="Roboto" w:eastAsia="Roboto" w:cs="Roboto"/>
          <w:sz w:val="22"/>
          <w:szCs w:val="22"/>
        </w:rPr>
      </w:pPr>
    </w:p>
    <w:p w:rsidR="00E642D2" w:rsidRDefault="00E642D2" w14:paraId="00000011" w14:textId="77777777">
      <w:pPr>
        <w:pStyle w:val="Normal2"/>
        <w:jc w:val="both"/>
        <w:rPr>
          <w:rFonts w:ascii="Roboto" w:hAnsi="Roboto" w:eastAsia="Roboto" w:cs="Roboto"/>
          <w:sz w:val="22"/>
          <w:szCs w:val="22"/>
        </w:rPr>
      </w:pPr>
    </w:p>
    <w:p w:rsidR="00E642D2" w:rsidRDefault="00E642D2" w14:paraId="00000012" w14:textId="77777777">
      <w:pPr>
        <w:pStyle w:val="Normal2"/>
        <w:jc w:val="both"/>
        <w:rPr>
          <w:rFonts w:ascii="Roboto" w:hAnsi="Roboto" w:eastAsia="Roboto" w:cs="Roboto"/>
          <w:sz w:val="22"/>
          <w:szCs w:val="22"/>
        </w:rPr>
      </w:pPr>
    </w:p>
    <w:p w:rsidR="00E642D2" w:rsidRDefault="00E642D2" w14:paraId="00000013" w14:textId="77777777">
      <w:pPr>
        <w:pStyle w:val="Normal2"/>
        <w:jc w:val="both"/>
        <w:rPr>
          <w:rFonts w:ascii="Roboto" w:hAnsi="Roboto" w:eastAsia="Roboto" w:cs="Roboto"/>
          <w:sz w:val="22"/>
          <w:szCs w:val="22"/>
        </w:rPr>
      </w:pPr>
    </w:p>
    <w:p w:rsidR="00E642D2" w:rsidRDefault="00E642D2" w14:paraId="00000014" w14:textId="77777777">
      <w:pPr>
        <w:pStyle w:val="Normal2"/>
        <w:jc w:val="both"/>
        <w:rPr>
          <w:rFonts w:ascii="Roboto" w:hAnsi="Roboto" w:eastAsia="Roboto" w:cs="Roboto"/>
          <w:sz w:val="22"/>
          <w:szCs w:val="22"/>
        </w:rPr>
      </w:pPr>
    </w:p>
    <w:p w:rsidR="00E642D2" w:rsidRDefault="00E642D2" w14:paraId="00000015" w14:textId="77777777">
      <w:pPr>
        <w:pStyle w:val="Normal2"/>
        <w:jc w:val="both"/>
        <w:rPr>
          <w:rFonts w:ascii="Roboto" w:hAnsi="Roboto" w:eastAsia="Roboto" w:cs="Roboto"/>
          <w:sz w:val="22"/>
          <w:szCs w:val="22"/>
        </w:rPr>
      </w:pPr>
    </w:p>
    <w:p w:rsidR="00E642D2" w:rsidRDefault="00E642D2" w14:paraId="00000016" w14:textId="77777777">
      <w:pPr>
        <w:pStyle w:val="Normal2"/>
        <w:jc w:val="both"/>
        <w:rPr>
          <w:rFonts w:ascii="Roboto" w:hAnsi="Roboto" w:eastAsia="Roboto" w:cs="Roboto"/>
          <w:sz w:val="22"/>
          <w:szCs w:val="22"/>
        </w:rPr>
      </w:pPr>
    </w:p>
    <w:p w:rsidR="00E642D2" w:rsidRDefault="00E642D2" w14:paraId="00000017" w14:textId="77777777">
      <w:pPr>
        <w:pStyle w:val="Normal2"/>
        <w:jc w:val="both"/>
        <w:rPr>
          <w:rFonts w:ascii="Roboto" w:hAnsi="Roboto" w:eastAsia="Roboto" w:cs="Roboto"/>
          <w:sz w:val="22"/>
          <w:szCs w:val="22"/>
        </w:rPr>
      </w:pPr>
    </w:p>
    <w:p w:rsidR="00E642D2" w:rsidRDefault="00E642D2" w14:paraId="00000018" w14:textId="77777777">
      <w:pPr>
        <w:pStyle w:val="Normal2"/>
        <w:jc w:val="both"/>
        <w:rPr>
          <w:rFonts w:ascii="Roboto" w:hAnsi="Roboto" w:eastAsia="Roboto" w:cs="Roboto"/>
          <w:sz w:val="22"/>
          <w:szCs w:val="22"/>
        </w:rPr>
      </w:pPr>
    </w:p>
    <w:p w:rsidR="00E642D2" w:rsidRDefault="008A58E0" w14:paraId="00000019" w14:textId="77777777">
      <w:pPr>
        <w:pStyle w:val="Normal2"/>
        <w:jc w:val="both"/>
        <w:rPr>
          <w:rFonts w:ascii="Roboto" w:hAnsi="Roboto" w:eastAsia="Roboto" w:cs="Roboto"/>
          <w:b/>
          <w:bCs/>
          <w:sz w:val="22"/>
          <w:szCs w:val="22"/>
          <w:u w:val="single"/>
        </w:rPr>
      </w:pPr>
      <w:r>
        <w:rPr>
          <w:rFonts w:ascii="Roboto" w:hAnsi="Roboto" w:eastAsia="Roboto" w:cs="Roboto"/>
          <w:b/>
          <w:bCs/>
          <w:sz w:val="22"/>
          <w:szCs w:val="22"/>
          <w:u w:val="single"/>
        </w:rPr>
        <w:t>Una hoja de ruta para desarrollar esquemas de evaluación</w:t>
      </w:r>
    </w:p>
    <w:p w:rsidR="00E642D2" w:rsidRDefault="00E642D2" w14:paraId="0000001A" w14:textId="77777777">
      <w:pPr>
        <w:pStyle w:val="Normal2"/>
        <w:jc w:val="both"/>
        <w:rPr>
          <w:rFonts w:ascii="Roboto" w:hAnsi="Roboto" w:eastAsia="Roboto" w:cs="Roboto"/>
          <w:sz w:val="22"/>
          <w:szCs w:val="22"/>
        </w:rPr>
      </w:pPr>
    </w:p>
    <w:p w:rsidR="00E642D2" w:rsidRDefault="008A58E0" w14:paraId="0000001B" w14:textId="77777777">
      <w:pPr>
        <w:pStyle w:val="Normal2"/>
        <w:jc w:val="both"/>
        <w:rPr>
          <w:rFonts w:ascii="Roboto" w:hAnsi="Roboto" w:eastAsia="Roboto" w:cs="Roboto"/>
          <w:sz w:val="22"/>
          <w:szCs w:val="22"/>
        </w:rPr>
      </w:pPr>
      <w:r>
        <w:rPr>
          <w:rFonts w:ascii="Roboto" w:hAnsi="Roboto" w:eastAsia="Roboto" w:cs="Roboto"/>
          <w:sz w:val="22"/>
          <w:szCs w:val="22"/>
        </w:rPr>
        <w:t>Sobre los que elementos debe contemplar un esquema para que pueda ser utilizado por organismos acreditados, el documento describe, entre otros aspectos, los elementos fundamentales que debe definir un esquema, tales como:</w:t>
      </w:r>
    </w:p>
    <w:p w:rsidR="00E642D2" w:rsidRDefault="00E642D2" w14:paraId="0000001C" w14:textId="77777777">
      <w:pPr>
        <w:pStyle w:val="Normal2"/>
        <w:jc w:val="both"/>
        <w:rPr>
          <w:rFonts w:ascii="Roboto" w:hAnsi="Roboto" w:eastAsia="Roboto" w:cs="Roboto"/>
          <w:sz w:val="22"/>
          <w:szCs w:val="22"/>
        </w:rPr>
      </w:pPr>
    </w:p>
    <w:p w:rsidR="00E642D2" w:rsidRDefault="008A58E0" w14:paraId="0000001D" w14:textId="77777777">
      <w:pPr>
        <w:pStyle w:val="Normal2"/>
        <w:numPr>
          <w:ilvl w:val="0"/>
          <w:numId w:val="1"/>
        </w:numPr>
        <w:jc w:val="both"/>
        <w:rPr>
          <w:color w:val="000000"/>
          <w:sz w:val="25"/>
          <w:szCs w:val="25"/>
        </w:rPr>
      </w:pPr>
      <w:r>
        <w:rPr>
          <w:rFonts w:ascii="Roboto" w:hAnsi="Roboto" w:eastAsia="Roboto" w:cs="Roboto"/>
          <w:sz w:val="22"/>
          <w:szCs w:val="22"/>
        </w:rPr>
        <w:t xml:space="preserve">El </w:t>
      </w:r>
      <w:r>
        <w:rPr>
          <w:rFonts w:ascii="Roboto" w:hAnsi="Roboto" w:eastAsia="Roboto" w:cs="Roboto"/>
          <w:b/>
          <w:bCs/>
          <w:sz w:val="22"/>
          <w:szCs w:val="22"/>
        </w:rPr>
        <w:t>objeto del esquema y su alcance</w:t>
      </w:r>
      <w:r>
        <w:rPr>
          <w:rFonts w:ascii="Roboto" w:hAnsi="Roboto" w:eastAsia="Roboto" w:cs="Roboto"/>
          <w:sz w:val="22"/>
          <w:szCs w:val="22"/>
        </w:rPr>
        <w:t>, identificando claramente qué producto, proceso, servicio, sistema o persona será objeto de evaluación.</w:t>
      </w:r>
    </w:p>
    <w:p w:rsidR="00E642D2" w:rsidRDefault="008A58E0" w14:paraId="0000001E" w14:textId="77777777">
      <w:pPr>
        <w:pStyle w:val="Normal2"/>
        <w:numPr>
          <w:ilvl w:val="0"/>
          <w:numId w:val="1"/>
        </w:numPr>
        <w:jc w:val="both"/>
        <w:rPr>
          <w:color w:val="000000"/>
          <w:sz w:val="25"/>
          <w:szCs w:val="25"/>
        </w:rPr>
      </w:pPr>
      <w:r>
        <w:rPr>
          <w:rFonts w:ascii="Roboto" w:hAnsi="Roboto" w:eastAsia="Roboto" w:cs="Roboto"/>
          <w:sz w:val="22"/>
          <w:szCs w:val="22"/>
        </w:rPr>
        <w:t xml:space="preserve">Los </w:t>
      </w:r>
      <w:r>
        <w:rPr>
          <w:rFonts w:ascii="Roboto" w:hAnsi="Roboto" w:eastAsia="Roboto" w:cs="Roboto"/>
          <w:b/>
          <w:bCs/>
          <w:sz w:val="22"/>
          <w:szCs w:val="22"/>
        </w:rPr>
        <w:t xml:space="preserve">requisitos </w:t>
      </w:r>
      <w:r>
        <w:rPr>
          <w:rFonts w:ascii="Roboto" w:hAnsi="Roboto" w:eastAsia="Roboto" w:cs="Roboto"/>
          <w:sz w:val="22"/>
          <w:szCs w:val="22"/>
        </w:rPr>
        <w:t>que deben cumplirse: criterios o especificaciones frente a los cuales se evaluará la conformidad.</w:t>
      </w:r>
    </w:p>
    <w:p w:rsidR="00E642D2" w:rsidRDefault="008A58E0" w14:paraId="0000001F" w14:textId="77777777">
      <w:pPr>
        <w:pStyle w:val="Normal2"/>
        <w:numPr>
          <w:ilvl w:val="0"/>
          <w:numId w:val="1"/>
        </w:numPr>
        <w:jc w:val="both"/>
        <w:rPr>
          <w:color w:val="000000"/>
          <w:sz w:val="25"/>
          <w:szCs w:val="25"/>
        </w:rPr>
      </w:pPr>
      <w:r>
        <w:rPr>
          <w:rFonts w:ascii="Roboto" w:hAnsi="Roboto" w:eastAsia="Roboto" w:cs="Roboto"/>
          <w:b/>
          <w:bCs/>
          <w:sz w:val="22"/>
          <w:szCs w:val="22"/>
        </w:rPr>
        <w:t>Procedimiento de evaluación</w:t>
      </w:r>
      <w:r>
        <w:rPr>
          <w:rFonts w:ascii="Roboto" w:hAnsi="Roboto" w:eastAsia="Roboto" w:cs="Roboto"/>
          <w:sz w:val="22"/>
          <w:szCs w:val="22"/>
        </w:rPr>
        <w:t>: métodos y actividades que se utilizarán para determinar la conformidad, como ensayos, inspecciones, auditorías u otras evaluaciones.</w:t>
      </w:r>
    </w:p>
    <w:p w:rsidR="00E642D2" w:rsidRDefault="008A58E0" w14:paraId="00000020" w14:textId="77777777">
      <w:pPr>
        <w:pStyle w:val="Normal2"/>
        <w:numPr>
          <w:ilvl w:val="0"/>
          <w:numId w:val="1"/>
        </w:numPr>
        <w:jc w:val="both"/>
        <w:rPr>
          <w:color w:val="000000"/>
          <w:sz w:val="25"/>
          <w:szCs w:val="25"/>
        </w:rPr>
      </w:pPr>
      <w:r>
        <w:rPr>
          <w:rFonts w:ascii="Roboto" w:hAnsi="Roboto" w:eastAsia="Roboto" w:cs="Roboto"/>
          <w:b/>
          <w:bCs/>
          <w:sz w:val="22"/>
          <w:szCs w:val="22"/>
        </w:rPr>
        <w:t>Normas o requisitos adicionales</w:t>
      </w:r>
      <w:r>
        <w:rPr>
          <w:rFonts w:ascii="Roboto" w:hAnsi="Roboto" w:eastAsia="Roboto" w:cs="Roboto"/>
          <w:sz w:val="22"/>
          <w:szCs w:val="22"/>
        </w:rPr>
        <w:t>: condiciones aplicables a los organismos evaluadores de la conformidad (OEC) y a la operativa del esquema, como requisitos de competencia del personal, contenido de informes o certificados, duración de evaluaciones, seguimiento o gestión de no conformidades.</w:t>
      </w:r>
    </w:p>
    <w:p w:rsidR="00E642D2" w:rsidRDefault="008A58E0" w14:paraId="00000021" w14:textId="77777777">
      <w:pPr>
        <w:pStyle w:val="Normal2"/>
        <w:numPr>
          <w:ilvl w:val="0"/>
          <w:numId w:val="1"/>
        </w:numPr>
        <w:jc w:val="both"/>
        <w:rPr>
          <w:color w:val="000000"/>
          <w:sz w:val="25"/>
          <w:szCs w:val="25"/>
        </w:rPr>
      </w:pPr>
      <w:r>
        <w:rPr>
          <w:rFonts w:ascii="Roboto" w:hAnsi="Roboto" w:eastAsia="Roboto" w:cs="Roboto"/>
          <w:b/>
          <w:bCs/>
          <w:sz w:val="22"/>
          <w:szCs w:val="22"/>
        </w:rPr>
        <w:t>Reglas de uso</w:t>
      </w:r>
      <w:r>
        <w:rPr>
          <w:rFonts w:ascii="Roboto" w:hAnsi="Roboto" w:eastAsia="Roboto" w:cs="Roboto"/>
          <w:sz w:val="22"/>
          <w:szCs w:val="22"/>
        </w:rPr>
        <w:t>: condiciones para el uso de marcas, certificados u otras evidencias de conformidad dentro del esquema.</w:t>
      </w:r>
    </w:p>
    <w:p w:rsidR="00E642D2" w:rsidRDefault="008A58E0" w14:paraId="00000022" w14:textId="77777777">
      <w:pPr>
        <w:pStyle w:val="Normal2"/>
        <w:numPr>
          <w:ilvl w:val="0"/>
          <w:numId w:val="1"/>
        </w:numPr>
        <w:jc w:val="both"/>
        <w:rPr>
          <w:color w:val="000000"/>
          <w:sz w:val="25"/>
          <w:szCs w:val="25"/>
        </w:rPr>
      </w:pPr>
      <w:r>
        <w:rPr>
          <w:rFonts w:ascii="Roboto" w:hAnsi="Roboto" w:eastAsia="Roboto" w:cs="Roboto"/>
          <w:b/>
          <w:bCs/>
          <w:sz w:val="22"/>
          <w:szCs w:val="22"/>
        </w:rPr>
        <w:t>Acreditación</w:t>
      </w:r>
      <w:r>
        <w:rPr>
          <w:rFonts w:ascii="Roboto" w:hAnsi="Roboto" w:eastAsia="Roboto" w:cs="Roboto"/>
          <w:sz w:val="22"/>
          <w:szCs w:val="22"/>
        </w:rPr>
        <w:t>: referencia al papel de la acreditación como mecanismo que verifica la competencia de los OEC y supervisa su actividad conforme a los requisitos aplicables.</w:t>
      </w:r>
    </w:p>
    <w:p w:rsidR="00E642D2" w:rsidRDefault="00E642D2" w14:paraId="00000023" w14:textId="77777777">
      <w:pPr>
        <w:pStyle w:val="Normal2"/>
        <w:ind w:left="720"/>
        <w:jc w:val="both"/>
        <w:rPr>
          <w:rFonts w:ascii="Roboto" w:hAnsi="Roboto" w:eastAsia="Roboto" w:cs="Roboto"/>
          <w:sz w:val="22"/>
          <w:szCs w:val="22"/>
        </w:rPr>
      </w:pPr>
    </w:p>
    <w:p w:rsidR="00E642D2" w:rsidRDefault="008A58E0" w14:paraId="00000024" w14:textId="77777777">
      <w:pPr>
        <w:pStyle w:val="Normal2"/>
        <w:jc w:val="both"/>
        <w:rPr>
          <w:rFonts w:ascii="Roboto" w:hAnsi="Roboto" w:eastAsia="Roboto" w:cs="Roboto"/>
          <w:sz w:val="22"/>
          <w:szCs w:val="22"/>
        </w:rPr>
      </w:pPr>
      <w:r>
        <w:rPr>
          <w:rFonts w:ascii="Roboto" w:hAnsi="Roboto" w:eastAsia="Roboto" w:cs="Roboto"/>
          <w:sz w:val="22"/>
          <w:szCs w:val="22"/>
        </w:rPr>
        <w:t xml:space="preserve">Asimismo, la guía aborda cuestiones clave relacionadas con el diseño y gestión del esquema, como la necesidad de definir claramente el </w:t>
      </w:r>
      <w:r>
        <w:rPr>
          <w:rFonts w:ascii="Roboto" w:hAnsi="Roboto" w:eastAsia="Roboto" w:cs="Roboto"/>
          <w:b/>
          <w:bCs/>
          <w:sz w:val="22"/>
          <w:szCs w:val="22"/>
        </w:rPr>
        <w:t>objeto de la evaluación y los requisitos a cumplir</w:t>
      </w:r>
      <w:r>
        <w:rPr>
          <w:rFonts w:ascii="Roboto" w:hAnsi="Roboto" w:eastAsia="Roboto" w:cs="Roboto"/>
          <w:sz w:val="22"/>
          <w:szCs w:val="22"/>
        </w:rPr>
        <w:t>, tener en cuenta el nivel de riesgo asociado al incumplimiento de dichos requisitos al seleccionar las actividades de evaluación o asegurar la participación de personas competentes y partes interesadas.</w:t>
      </w:r>
    </w:p>
    <w:p w:rsidR="00E642D2" w:rsidRDefault="00E642D2" w14:paraId="00000025" w14:textId="77777777">
      <w:pPr>
        <w:pStyle w:val="Normal2"/>
        <w:jc w:val="both"/>
        <w:rPr>
          <w:rFonts w:ascii="Roboto" w:hAnsi="Roboto" w:eastAsia="Roboto" w:cs="Roboto"/>
          <w:sz w:val="22"/>
          <w:szCs w:val="22"/>
        </w:rPr>
      </w:pPr>
    </w:p>
    <w:p w:rsidR="00E642D2" w:rsidP="1F2E1645" w:rsidRDefault="008A58E0" w14:paraId="00000026" w14:textId="77777777">
      <w:pPr>
        <w:pStyle w:val="Normal2"/>
        <w:jc w:val="both"/>
        <w:rPr>
          <w:rFonts w:ascii="Roboto" w:hAnsi="Roboto" w:eastAsia="Roboto" w:cs="Roboto"/>
          <w:sz w:val="22"/>
          <w:szCs w:val="22"/>
          <w:lang w:val="es-ES"/>
        </w:rPr>
      </w:pPr>
      <w:r w:rsidRPr="1F2E1645" w:rsidR="008A58E0">
        <w:rPr>
          <w:rFonts w:ascii="Roboto" w:hAnsi="Roboto" w:eastAsia="Roboto" w:cs="Roboto"/>
          <w:sz w:val="22"/>
          <w:szCs w:val="22"/>
          <w:lang w:val="es-ES"/>
        </w:rPr>
        <w:t xml:space="preserve">Otro de los aspectos que analiza el documento es la </w:t>
      </w:r>
      <w:r w:rsidRPr="1F2E1645" w:rsidR="008A58E0">
        <w:rPr>
          <w:rFonts w:ascii="Roboto" w:hAnsi="Roboto" w:eastAsia="Roboto" w:cs="Roboto"/>
          <w:b w:val="1"/>
          <w:bCs w:val="1"/>
          <w:sz w:val="22"/>
          <w:szCs w:val="22"/>
          <w:lang w:val="es-ES"/>
        </w:rPr>
        <w:t>necesaria alineación de los esquemas con las normas internacionales de evaluación de la conformidad (serie ISO/IEC 17000)</w:t>
      </w:r>
      <w:r w:rsidRPr="1F2E1645" w:rsidR="008A58E0">
        <w:rPr>
          <w:rFonts w:ascii="Roboto" w:hAnsi="Roboto" w:eastAsia="Roboto" w:cs="Roboto"/>
          <w:sz w:val="22"/>
          <w:szCs w:val="22"/>
          <w:lang w:val="es-ES"/>
        </w:rPr>
        <w:t>, que establecen los requisitos de competencia técnica, imparcialidad y consistencia para los organismos que realizan estas actividades.</w:t>
      </w:r>
      <w:r w:rsidRPr="1F2E1645" w:rsidR="008A58E0">
        <w:rPr>
          <w:rFonts w:ascii="Roboto" w:hAnsi="Roboto" w:eastAsia="Roboto" w:cs="Roboto"/>
          <w:sz w:val="22"/>
          <w:szCs w:val="22"/>
          <w:lang w:val="es-ES"/>
        </w:rPr>
        <w:t xml:space="preserve"> Diseñar un esquema teniendo en cuenta estas normas facilita que los organismos que operen en él puedan obtener y mantener la acreditación.</w:t>
      </w:r>
    </w:p>
    <w:p w:rsidR="00E642D2" w:rsidRDefault="00E642D2" w14:paraId="00000027" w14:textId="77777777">
      <w:pPr>
        <w:pStyle w:val="Normal2"/>
        <w:jc w:val="both"/>
        <w:rPr>
          <w:rFonts w:ascii="Roboto" w:hAnsi="Roboto" w:eastAsia="Roboto" w:cs="Roboto"/>
          <w:sz w:val="22"/>
          <w:szCs w:val="22"/>
        </w:rPr>
      </w:pPr>
    </w:p>
    <w:p w:rsidR="00E642D2" w:rsidRDefault="008A58E0" w14:paraId="00000028" w14:textId="77777777">
      <w:pPr>
        <w:pStyle w:val="Normal2"/>
        <w:jc w:val="both"/>
        <w:rPr>
          <w:rFonts w:ascii="Roboto" w:hAnsi="Roboto" w:eastAsia="Roboto" w:cs="Roboto"/>
          <w:sz w:val="22"/>
          <w:szCs w:val="22"/>
        </w:rPr>
      </w:pPr>
      <w:r>
        <w:rPr>
          <w:rFonts w:ascii="Roboto" w:hAnsi="Roboto" w:eastAsia="Roboto" w:cs="Roboto"/>
          <w:sz w:val="22"/>
          <w:szCs w:val="22"/>
        </w:rPr>
        <w:t xml:space="preserve">Además de servir como orientación para el diseño de nuevos programas de evaluación, la guía también </w:t>
      </w:r>
      <w:r>
        <w:rPr>
          <w:rFonts w:ascii="Roboto" w:hAnsi="Roboto" w:eastAsia="Roboto" w:cs="Roboto"/>
          <w:b/>
          <w:bCs/>
          <w:sz w:val="22"/>
          <w:szCs w:val="22"/>
        </w:rPr>
        <w:t>puede resultar útil para revisar esquemas ya existentes</w:t>
      </w:r>
      <w:r>
        <w:rPr>
          <w:rFonts w:ascii="Roboto" w:hAnsi="Roboto" w:eastAsia="Roboto" w:cs="Roboto"/>
          <w:sz w:val="22"/>
          <w:szCs w:val="22"/>
        </w:rPr>
        <w:t>, permitiendo identificar posibles mejoras que faciliten su utilización por organismos acreditados y aumentar la confianza y aceptación en el mercado.</w:t>
      </w:r>
    </w:p>
    <w:p w:rsidR="00E642D2" w:rsidRDefault="00E642D2" w14:paraId="00000029" w14:textId="77777777">
      <w:pPr>
        <w:pStyle w:val="Normal2"/>
        <w:jc w:val="both"/>
        <w:rPr>
          <w:rFonts w:ascii="Roboto" w:hAnsi="Roboto" w:eastAsia="Roboto" w:cs="Roboto"/>
          <w:sz w:val="22"/>
          <w:szCs w:val="22"/>
        </w:rPr>
      </w:pPr>
    </w:p>
    <w:p w:rsidR="00E642D2" w:rsidRDefault="008A58E0" w14:paraId="0000002A" w14:textId="77777777">
      <w:pPr>
        <w:pStyle w:val="Normal2"/>
        <w:jc w:val="both"/>
        <w:rPr>
          <w:rFonts w:ascii="Roboto" w:hAnsi="Roboto" w:eastAsia="Roboto" w:cs="Roboto"/>
          <w:sz w:val="22"/>
          <w:szCs w:val="22"/>
        </w:rPr>
      </w:pPr>
      <w:r>
        <w:rPr>
          <w:rFonts w:ascii="Roboto" w:hAnsi="Roboto" w:eastAsia="Roboto" w:cs="Roboto"/>
          <w:sz w:val="22"/>
          <w:szCs w:val="22"/>
        </w:rPr>
        <w:t>Con esta publicación, ENAC refuerza su papel de apoyo técnico a organizaciones públicas y privadas que desarrollan esquemas de evaluación, contribuyendo a que estos programas se diseñen sobre bases sólidas y puedan beneficiarse del valor añadido que aporta la acreditación en términos de competencia técnica, fiabilidad y reconocimiento internacional.</w:t>
      </w:r>
    </w:p>
    <w:p w:rsidR="00E642D2" w:rsidRDefault="00E642D2" w14:paraId="0000002B" w14:textId="77777777">
      <w:pPr>
        <w:pStyle w:val="Normal2"/>
        <w:jc w:val="both"/>
        <w:rPr>
          <w:rFonts w:ascii="Arial" w:hAnsi="Arial" w:eastAsia="Arial" w:cs="Arial"/>
          <w:sz w:val="22"/>
          <w:szCs w:val="22"/>
        </w:rPr>
      </w:pPr>
    </w:p>
    <w:p w:rsidR="00E642D2" w:rsidRDefault="00E642D2" w14:paraId="0000002C" w14:textId="77777777">
      <w:pPr>
        <w:pStyle w:val="Normal2"/>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b/>
          <w:bCs/>
          <w:color w:val="E83544"/>
          <w:sz w:val="22"/>
          <w:szCs w:val="22"/>
        </w:rPr>
      </w:pPr>
    </w:p>
    <w:p w:rsidR="00E642D2" w:rsidRDefault="00E642D2" w14:paraId="0000002D" w14:textId="77777777">
      <w:pPr>
        <w:pStyle w:val="Normal2"/>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b/>
          <w:bCs/>
          <w:color w:val="E83544"/>
          <w:sz w:val="22"/>
          <w:szCs w:val="22"/>
        </w:rPr>
      </w:pPr>
    </w:p>
    <w:p w:rsidR="00E642D2" w:rsidRDefault="00E642D2" w14:paraId="0000002E" w14:textId="77777777">
      <w:pPr>
        <w:pStyle w:val="Normal2"/>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b/>
          <w:bCs/>
          <w:color w:val="E83544"/>
          <w:sz w:val="22"/>
          <w:szCs w:val="22"/>
        </w:rPr>
      </w:pPr>
    </w:p>
    <w:p w:rsidR="00E642D2" w:rsidRDefault="00E642D2" w14:paraId="0000002F" w14:textId="77777777">
      <w:pPr>
        <w:pStyle w:val="Normal2"/>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b/>
          <w:bCs/>
          <w:color w:val="E83544"/>
          <w:sz w:val="22"/>
          <w:szCs w:val="22"/>
        </w:rPr>
      </w:pPr>
    </w:p>
    <w:p w:rsidR="00E642D2" w:rsidRDefault="008A58E0" w14:paraId="00000030" w14:textId="77777777">
      <w:pPr>
        <w:pStyle w:val="Normal2"/>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color w:val="E83544"/>
          <w:sz w:val="22"/>
          <w:szCs w:val="22"/>
        </w:rPr>
      </w:pPr>
      <w:r>
        <w:rPr>
          <w:rFonts w:ascii="Roboto" w:hAnsi="Roboto" w:eastAsia="Roboto" w:cs="Roboto"/>
          <w:b/>
          <w:bCs/>
          <w:color w:val="E83544"/>
          <w:sz w:val="22"/>
          <w:szCs w:val="22"/>
        </w:rPr>
        <w:t>Sobre ENAC</w:t>
      </w:r>
      <w:r>
        <w:rPr>
          <w:rFonts w:ascii="Roboto" w:hAnsi="Roboto" w:eastAsia="Roboto" w:cs="Roboto"/>
          <w:color w:val="E83544"/>
          <w:sz w:val="22"/>
          <w:szCs w:val="22"/>
        </w:rPr>
        <w:t xml:space="preserve"> </w:t>
      </w:r>
    </w:p>
    <w:p w:rsidR="00E642D2" w:rsidRDefault="008A58E0" w14:paraId="00000031" w14:textId="77777777">
      <w:pPr>
        <w:pStyle w:val="Normal2"/>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rsidR="00E642D2" w:rsidRDefault="00E642D2" w14:paraId="00000032" w14:textId="77777777">
      <w:pPr>
        <w:pStyle w:val="Normal2"/>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E642D2" w:rsidRDefault="008A58E0" w14:paraId="00000033" w14:textId="77777777">
      <w:pPr>
        <w:pStyle w:val="Normal2"/>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w:t>
      </w:r>
      <w:r>
        <w:rPr>
          <w:rFonts w:ascii="Roboto" w:hAnsi="Roboto" w:eastAsia="Roboto" w:cs="Roboto"/>
          <w:sz w:val="22"/>
          <w:szCs w:val="22"/>
        </w:rPr>
        <w:t xml:space="preserve">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rsidR="00E642D2" w:rsidRDefault="00E642D2" w14:paraId="00000034" w14:textId="77777777">
      <w:pPr>
        <w:pStyle w:val="Normal2"/>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E642D2" w:rsidRDefault="008A58E0" w14:paraId="00000035" w14:textId="77777777">
      <w:pPr>
        <w:pStyle w:val="Normal2"/>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rsidR="00E642D2" w:rsidRDefault="00E642D2" w14:paraId="00000036" w14:textId="77777777">
      <w:pPr>
        <w:pStyle w:val="Normal2"/>
        <w:jc w:val="both"/>
        <w:rPr>
          <w:rFonts w:ascii="Roboto" w:hAnsi="Roboto" w:eastAsia="Roboto" w:cs="Roboto"/>
          <w:sz w:val="22"/>
          <w:szCs w:val="22"/>
        </w:rPr>
      </w:pPr>
    </w:p>
    <w:p w:rsidR="00E642D2" w:rsidRDefault="00E642D2" w14:paraId="00000037" w14:textId="77777777">
      <w:pPr>
        <w:pStyle w:val="Normal2"/>
        <w:jc w:val="both"/>
        <w:rPr>
          <w:rFonts w:ascii="Roboto" w:hAnsi="Roboto" w:eastAsia="Roboto" w:cs="Roboto"/>
          <w:sz w:val="22"/>
          <w:szCs w:val="22"/>
        </w:rPr>
      </w:pPr>
    </w:p>
    <w:p w:rsidR="00E642D2" w:rsidRDefault="008A58E0" w14:paraId="00000038" w14:textId="77777777">
      <w:pPr>
        <w:pStyle w:val="Normal2"/>
        <w:pBdr>
          <w:bottom w:val="single" w:color="000000" w:sz="12" w:space="1"/>
        </w:pBdr>
        <w:jc w:val="both"/>
        <w:rPr>
          <w:rFonts w:ascii="Roboto" w:hAnsi="Roboto" w:eastAsia="Roboto" w:cs="Roboto"/>
          <w:color w:val="E83544"/>
          <w:sz w:val="22"/>
          <w:szCs w:val="22"/>
        </w:rPr>
      </w:pPr>
      <w:hyperlink r:id="rId12">
        <w:r>
          <w:rPr>
            <w:rFonts w:ascii="Roboto" w:hAnsi="Roboto" w:eastAsia="Roboto" w:cs="Roboto"/>
            <w:color w:val="E83544"/>
            <w:sz w:val="22"/>
            <w:szCs w:val="22"/>
            <w:u w:val="single"/>
          </w:rPr>
          <w:t>www.enac.es</w:t>
        </w:r>
      </w:hyperlink>
      <w:r>
        <w:rPr>
          <w:rFonts w:ascii="Roboto" w:hAnsi="Roboto" w:eastAsia="Roboto" w:cs="Roboto"/>
          <w:color w:val="E83544"/>
          <w:sz w:val="22"/>
          <w:szCs w:val="22"/>
        </w:rPr>
        <w:t xml:space="preserve"> </w:t>
      </w:r>
    </w:p>
    <w:p w:rsidR="00E642D2" w:rsidRDefault="00E642D2" w14:paraId="00000039" w14:textId="77777777">
      <w:pPr>
        <w:pStyle w:val="Normal2"/>
        <w:pBdr>
          <w:bottom w:val="single" w:color="000000" w:sz="12" w:space="1"/>
        </w:pBdr>
        <w:jc w:val="both"/>
        <w:rPr>
          <w:rFonts w:ascii="Roboto" w:hAnsi="Roboto" w:eastAsia="Roboto" w:cs="Roboto"/>
          <w:color w:val="E83544"/>
          <w:sz w:val="22"/>
          <w:szCs w:val="22"/>
        </w:rPr>
      </w:pPr>
    </w:p>
    <w:p w:rsidR="00E642D2" w:rsidRDefault="008A58E0" w14:paraId="0000003A" w14:textId="77777777">
      <w:pPr>
        <w:pStyle w:val="Normal2"/>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0" distB="0" distL="0" distR="0" wp14:anchorId="0A11B722" wp14:editId="07777777">
            <wp:extent cx="304800" cy="304800"/>
            <wp:effectExtent l="0" t="0" r="0" b="0"/>
            <wp:docPr id="17099659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04800" cy="304800"/>
                    </a:xfrm>
                    <a:prstGeom prst="rect">
                      <a:avLst/>
                    </a:prstGeom>
                    <a:ln/>
                  </pic:spPr>
                </pic:pic>
              </a:graphicData>
            </a:graphic>
          </wp:inline>
        </w:drawing>
      </w:r>
    </w:p>
    <w:p w:rsidR="00E642D2" w:rsidRDefault="00E642D2" w14:paraId="0000003B" w14:textId="77777777">
      <w:pPr>
        <w:pStyle w:val="Normal2"/>
        <w:pBdr>
          <w:bottom w:val="single" w:color="000000" w:sz="12" w:space="1"/>
        </w:pBdr>
        <w:jc w:val="both"/>
        <w:rPr>
          <w:rFonts w:ascii="Roboto" w:hAnsi="Roboto" w:eastAsia="Roboto" w:cs="Roboto"/>
          <w:color w:val="E83544"/>
          <w:sz w:val="22"/>
          <w:szCs w:val="22"/>
        </w:rPr>
      </w:pPr>
    </w:p>
    <w:p w:rsidR="00E642D2" w:rsidRDefault="00E642D2" w14:paraId="0000003C" w14:textId="77777777">
      <w:pPr>
        <w:pStyle w:val="Normal2"/>
        <w:jc w:val="both"/>
        <w:rPr>
          <w:rFonts w:ascii="Roboto" w:hAnsi="Roboto" w:eastAsia="Roboto" w:cs="Roboto"/>
          <w:color w:val="E83544"/>
          <w:sz w:val="22"/>
          <w:szCs w:val="22"/>
        </w:rPr>
      </w:pPr>
    </w:p>
    <w:p w:rsidR="00E642D2" w:rsidRDefault="008A58E0" w14:paraId="0000003D" w14:textId="77777777">
      <w:pPr>
        <w:pStyle w:val="Normal2"/>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w:rsidR="00E642D2" w:rsidRDefault="008A58E0" w14:paraId="0000003E" w14:textId="77777777">
      <w:pPr>
        <w:pStyle w:val="Normal2"/>
        <w:jc w:val="both"/>
        <w:rPr>
          <w:rFonts w:ascii="Roboto" w:hAnsi="Roboto" w:eastAsia="Roboto" w:cs="Roboto"/>
          <w:sz w:val="22"/>
          <w:szCs w:val="22"/>
        </w:rPr>
      </w:pPr>
      <w:r>
        <w:rPr>
          <w:rFonts w:ascii="Roboto" w:hAnsi="Roboto" w:eastAsia="Roboto" w:cs="Roboto"/>
          <w:sz w:val="22"/>
          <w:szCs w:val="22"/>
        </w:rPr>
        <w:t>Eva Martín</w:t>
      </w:r>
    </w:p>
    <w:p w:rsidR="00E642D2" w:rsidRDefault="008A58E0" w14:paraId="0000003F" w14:textId="77777777">
      <w:pPr>
        <w:pStyle w:val="Normal2"/>
        <w:jc w:val="both"/>
        <w:rPr>
          <w:rFonts w:ascii="Roboto" w:hAnsi="Roboto" w:eastAsia="Roboto" w:cs="Roboto"/>
          <w:sz w:val="22"/>
          <w:szCs w:val="22"/>
        </w:rPr>
      </w:pPr>
      <w:r>
        <w:rPr>
          <w:rFonts w:ascii="Roboto" w:hAnsi="Roboto" w:eastAsia="Roboto" w:cs="Roboto"/>
          <w:sz w:val="22"/>
          <w:szCs w:val="22"/>
        </w:rPr>
        <w:t xml:space="preserve">Tfno. 628 17 49 01 / </w:t>
      </w:r>
      <w:r>
        <w:rPr>
          <w:rFonts w:ascii="Roboto" w:hAnsi="Roboto" w:eastAsia="Roboto" w:cs="Roboto"/>
          <w:color w:val="E83544"/>
          <w:sz w:val="22"/>
          <w:szCs w:val="22"/>
        </w:rPr>
        <w:t xml:space="preserve"> </w:t>
      </w:r>
      <w:hyperlink r:id="rId14">
        <w:r>
          <w:rPr>
            <w:rFonts w:ascii="Roboto" w:hAnsi="Roboto" w:eastAsia="Roboto" w:cs="Roboto"/>
            <w:color w:val="E83544"/>
            <w:sz w:val="22"/>
            <w:szCs w:val="22"/>
            <w:u w:val="single"/>
          </w:rPr>
          <w:t>evamc@varenga.es</w:t>
        </w:r>
      </w:hyperlink>
    </w:p>
    <w:p w:rsidR="00E642D2" w:rsidRDefault="00E642D2" w14:paraId="00000040" w14:textId="77777777">
      <w:pPr>
        <w:pStyle w:val="Normal2"/>
        <w:spacing w:after="160"/>
        <w:jc w:val="both"/>
        <w:rPr>
          <w:rFonts w:ascii="Roboto" w:hAnsi="Roboto" w:eastAsia="Roboto" w:cs="Roboto"/>
          <w:color w:val="333333"/>
          <w:sz w:val="27"/>
          <w:szCs w:val="27"/>
          <w:highlight w:val="white"/>
        </w:rPr>
      </w:pPr>
    </w:p>
    <w:p w:rsidR="00E642D2" w:rsidRDefault="00E642D2" w14:paraId="00000041" w14:textId="77777777">
      <w:pPr>
        <w:pStyle w:val="Normal2"/>
      </w:pPr>
    </w:p>
    <w:p w:rsidR="00E642D2" w:rsidRDefault="00E642D2" w14:paraId="00000042" w14:textId="77777777">
      <w:pPr>
        <w:pStyle w:val="Normal2"/>
      </w:pPr>
    </w:p>
    <w:p w:rsidR="00E642D2" w:rsidRDefault="00E642D2" w14:paraId="00000043" w14:textId="77777777">
      <w:pPr>
        <w:pStyle w:val="Normal2"/>
      </w:pPr>
    </w:p>
    <w:p w:rsidR="00E642D2" w:rsidRDefault="00E642D2" w14:paraId="00000044" w14:textId="77777777">
      <w:pPr>
        <w:pStyle w:val="Normal2"/>
        <w:pBdr>
          <w:top w:val="nil"/>
          <w:left w:val="nil"/>
          <w:bottom w:val="nil"/>
          <w:right w:val="nil"/>
          <w:between w:val="nil"/>
        </w:pBdr>
        <w:rPr>
          <w:rFonts w:ascii="Calibri" w:hAnsi="Calibri" w:eastAsia="Calibri" w:cs="Calibri"/>
          <w:highlight w:val="white"/>
        </w:rPr>
      </w:pPr>
    </w:p>
    <w:sectPr w:rsidR="00E642D2">
      <w:headerReference w:type="even" r:id="rId15"/>
      <w:headerReference w:type="default" r:id="rId16"/>
      <w:footerReference w:type="even" r:id="rId17"/>
      <w:footerReference w:type="default" r:id="rId18"/>
      <w:headerReference w:type="first" r:id="rId19"/>
      <w:footerReference w:type="first" r:id="rId20"/>
      <w:pgSz w:w="11906" w:h="16838" w:orient="portrait"/>
      <w:pgMar w:top="1417" w:right="1701" w:bottom="127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A58E0" w:rsidRDefault="008A58E0" w14:paraId="75743499" w14:textId="77777777">
      <w:r>
        <w:separator/>
      </w:r>
    </w:p>
  </w:endnote>
  <w:endnote w:type="continuationSeparator" w:id="0">
    <w:p w:rsidR="008A58E0" w:rsidRDefault="008A58E0" w14:paraId="17F3413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embedRegular w:fontKey="{12CE39C1-45DB-4F7D-B4AF-0B4063E44D52}" r:id="rId1"/>
    <w:embedBold w:fontKey="{8AE6C409-B82D-4EBE-9C70-804F9C83271B}"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0723B37E-456C-401B-8ED3-AFF60D263453}" r:id="rId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7DA0EB7B-AFFA-438F-A5CA-63DCBB111D1D}"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D1D1E5A-B600-4EB5-AF31-91EDD89ED782}"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42D2" w:rsidRDefault="00E642D2" w14:paraId="0000004F" w14:textId="77777777">
    <w:pPr>
      <w:pStyle w:val="Normal2"/>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42D2" w:rsidRDefault="008A58E0" w14:paraId="0000004C" w14:textId="77777777">
    <w:pPr>
      <w:pStyle w:val="Normal2"/>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E642D2" w:rsidRDefault="00E642D2" w14:paraId="0000004D" w14:textId="77777777">
    <w:pPr>
      <w:pStyle w:val="Normal2"/>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42D2" w:rsidRDefault="00E642D2" w14:paraId="0000004E" w14:textId="77777777">
    <w:pPr>
      <w:pStyle w:val="Normal2"/>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A58E0" w:rsidRDefault="008A58E0" w14:paraId="42E1049A" w14:textId="77777777">
      <w:r>
        <w:separator/>
      </w:r>
    </w:p>
  </w:footnote>
  <w:footnote w:type="continuationSeparator" w:id="0">
    <w:p w:rsidR="008A58E0" w:rsidRDefault="008A58E0" w14:paraId="69B2FCF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42D2" w:rsidRDefault="00E642D2" w14:paraId="0000004B" w14:textId="77777777">
    <w:pPr>
      <w:pStyle w:val="Normal2"/>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E642D2" w:rsidRDefault="008A58E0" w14:paraId="00000045" w14:textId="77777777">
    <w:pPr>
      <w:pStyle w:val="Normal2"/>
      <w:spacing w:line="276" w:lineRule="auto"/>
    </w:pPr>
    <w:r>
      <w:t xml:space="preserve">                                                                           </w:t>
    </w:r>
    <w:r>
      <w:rPr>
        <w:noProof/>
      </w:rPr>
      <w:drawing>
        <wp:anchor distT="0" distB="0" distL="0" distR="0" simplePos="0" relativeHeight="251658240" behindDoc="0" locked="0" layoutInCell="1" hidden="0" allowOverlap="1" wp14:anchorId="41509E43" wp14:editId="07777777">
          <wp:simplePos x="0" y="0"/>
          <wp:positionH relativeFrom="column">
            <wp:posOffset>19050</wp:posOffset>
          </wp:positionH>
          <wp:positionV relativeFrom="paragraph">
            <wp:posOffset>19050</wp:posOffset>
          </wp:positionV>
          <wp:extent cx="1240365" cy="805879"/>
          <wp:effectExtent l="0" t="0" r="0" b="0"/>
          <wp:wrapNone/>
          <wp:docPr id="17099659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40365" cy="805879"/>
                  </a:xfrm>
                  <a:prstGeom prst="rect">
                    <a:avLst/>
                  </a:prstGeom>
                  <a:ln/>
                </pic:spPr>
              </pic:pic>
            </a:graphicData>
          </a:graphic>
        </wp:anchor>
      </w:drawing>
    </w:r>
    <w:r>
      <w:rPr>
        <w:noProof/>
      </w:rPr>
      <w:drawing>
        <wp:anchor distT="0" distB="0" distL="0" distR="0" simplePos="0" relativeHeight="251659264" behindDoc="0" locked="0" layoutInCell="1" hidden="0" allowOverlap="1" wp14:anchorId="605DA2B2" wp14:editId="07777777">
          <wp:simplePos x="0" y="0"/>
          <wp:positionH relativeFrom="column">
            <wp:posOffset>4152900</wp:posOffset>
          </wp:positionH>
          <wp:positionV relativeFrom="paragraph">
            <wp:posOffset>142875</wp:posOffset>
          </wp:positionV>
          <wp:extent cx="1157297" cy="684798"/>
          <wp:effectExtent l="0" t="0" r="0" b="0"/>
          <wp:wrapNone/>
          <wp:docPr id="17099659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8" b="-8"/>
                  <a:stretch>
                    <a:fillRect/>
                  </a:stretch>
                </pic:blipFill>
                <pic:spPr>
                  <a:xfrm>
                    <a:off x="0" y="0"/>
                    <a:ext cx="1157297" cy="684798"/>
                  </a:xfrm>
                  <a:prstGeom prst="rect">
                    <a:avLst/>
                  </a:prstGeom>
                  <a:ln/>
                </pic:spPr>
              </pic:pic>
            </a:graphicData>
          </a:graphic>
        </wp:anchor>
      </w:drawing>
    </w:r>
  </w:p>
  <w:p w:rsidR="00E642D2" w:rsidRDefault="00E642D2" w14:paraId="00000046" w14:textId="77777777">
    <w:pPr>
      <w:pStyle w:val="Normal2"/>
      <w:spacing w:line="276" w:lineRule="auto"/>
    </w:pPr>
  </w:p>
  <w:p w:rsidR="00E642D2" w:rsidRDefault="00E642D2" w14:paraId="00000047" w14:textId="77777777">
    <w:pPr>
      <w:pStyle w:val="Normal2"/>
      <w:spacing w:line="276" w:lineRule="auto"/>
    </w:pPr>
  </w:p>
  <w:p w:rsidR="00E642D2" w:rsidRDefault="00E642D2" w14:paraId="00000048" w14:textId="77777777">
    <w:pPr>
      <w:pStyle w:val="Normal2"/>
      <w:spacing w:line="276" w:lineRule="auto"/>
    </w:pPr>
  </w:p>
  <w:p w:rsidR="00E642D2" w:rsidRDefault="00E642D2" w14:paraId="00000049" w14:textId="77777777">
    <w:pPr>
      <w:pStyle w:val="Normal2"/>
      <w:spacing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42D2" w:rsidRDefault="00E642D2" w14:paraId="0000004A" w14:textId="77777777">
    <w:pPr>
      <w:pStyle w:val="Normal2"/>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513828"/>
    <w:multiLevelType w:val="multilevel"/>
    <w:tmpl w:val="FFFFFFFF"/>
    <w:lvl w:ilvl="0">
      <w:start w:val="1"/>
      <w:numFmt w:val="bullet"/>
      <w:lvlText w:val="●"/>
      <w:lvlJc w:val="left"/>
      <w:pPr>
        <w:ind w:left="720" w:hanging="360"/>
      </w:pPr>
      <w:rPr>
        <w:rFonts w:ascii="Roboto" w:hAnsi="Roboto" w:eastAsia="Roboto" w:cs="Roboto"/>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8D23CD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6230435">
    <w:abstractNumId w:val="0"/>
  </w:num>
  <w:num w:numId="2" w16cid:durableId="880288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2D2"/>
    <w:rsid w:val="008A58E0"/>
    <w:rsid w:val="00E642D2"/>
    <w:rsid w:val="00E8039A"/>
    <w:rsid w:val="1F2E1645"/>
    <w:rsid w:val="54EE92C6"/>
    <w:rsid w:val="7D717F9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E3711B1"/>
  <w15:docId w15:val="{E1F9B8E2-B6B1-40F8-9A6C-A5842F33F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before="480" w:after="120"/>
    </w:pPr>
    <w:rPr>
      <w:b/>
      <w:bCs/>
      <w:sz w:val="72"/>
      <w:szCs w:val="72"/>
    </w:rPr>
  </w:style>
  <w:style w:type="table" w:styleId="NormalTable0" w:customStyle="1">
    <w:name w:val="Normal Table0"/>
    <w:tblPr>
      <w:tblCellMar>
        <w:top w:w="100" w:type="dxa"/>
        <w:left w:w="100" w:type="dxa"/>
        <w:bottom w:w="100" w:type="dxa"/>
        <w:right w:w="100" w:type="dxa"/>
      </w:tblCellMar>
    </w:tblPr>
  </w:style>
  <w:style w:type="paragraph" w:styleId="Normal0" w:customStyle="1">
    <w:name w:val="Normal0"/>
  </w:style>
  <w:style w:type="table" w:styleId="NormalTable1" w:customStyle="1">
    <w:name w:val="Normal Table1"/>
    <w:tblPr>
      <w:tblCellMar>
        <w:top w:w="100" w:type="dxa"/>
        <w:left w:w="100" w:type="dxa"/>
        <w:bottom w:w="100" w:type="dxa"/>
        <w:right w:w="100" w:type="dxa"/>
      </w:tblCellMar>
    </w:tblPr>
  </w:style>
  <w:style w:type="paragraph" w:styleId="Normal1" w:customStyle="1">
    <w:name w:val="Normal1"/>
  </w:style>
  <w:style w:type="table" w:styleId="NormalTable2" w:customStyle="1">
    <w:name w:val="Normal Table2"/>
    <w:tblPr>
      <w:tblCellMar>
        <w:top w:w="100" w:type="dxa"/>
        <w:left w:w="100" w:type="dxa"/>
        <w:bottom w:w="100" w:type="dxa"/>
        <w:right w:w="100" w:type="dxa"/>
      </w:tblCellMar>
    </w:tblPr>
  </w:style>
  <w:style w:type="paragraph" w:styleId="Normal2" w:customStyle="1">
    <w:name w:val="Normal2"/>
  </w:style>
  <w:style w:type="table" w:styleId="NormalTable3" w:customStyle="1">
    <w:name w:val="Normal Table3"/>
    <w:uiPriority w:val="99"/>
    <w:semiHidden/>
    <w:unhideWhenUsed/>
    <w:tblPr>
      <w:tblInd w:w="0" w:type="dxa"/>
      <w:tblCellMar>
        <w:top w:w="0" w:type="dxa"/>
        <w:left w:w="108" w:type="dxa"/>
        <w:bottom w:w="0" w:type="dxa"/>
        <w:right w:w="108" w:type="dxa"/>
      </w:tblCellMar>
    </w:tblPr>
  </w:style>
  <w:style w:type="table" w:styleId="TableNormal" w:customStyle="1">
    <w:name w:val="TableNormal"/>
    <w:tblPr>
      <w:tblCellMar>
        <w:top w:w="100" w:type="dxa"/>
        <w:left w:w="100" w:type="dxa"/>
        <w:bottom w:w="100" w:type="dxa"/>
        <w:right w:w="100" w:type="dxa"/>
      </w:tblCellMar>
    </w:tblPr>
  </w:style>
  <w:style w:type="table" w:styleId="TableNormal0" w:customStyle="1">
    <w:name w:val="TableNormal0"/>
    <w:tblPr>
      <w:tblCellMar>
        <w:top w:w="100" w:type="dxa"/>
        <w:left w:w="100" w:type="dxa"/>
        <w:bottom w:w="100" w:type="dxa"/>
        <w:right w:w="100" w:type="dxa"/>
      </w:tblCellMar>
    </w:tblPr>
  </w:style>
  <w:style w:type="table" w:styleId="TableNormal1" w:customStyle="1">
    <w:name w:val="TableNormal1"/>
    <w:tblPr>
      <w:tblCellMar>
        <w:top w:w="100" w:type="dxa"/>
        <w:left w:w="100" w:type="dxa"/>
        <w:bottom w:w="100" w:type="dxa"/>
        <w:right w:w="100" w:type="dxa"/>
      </w:tblCellMar>
    </w:tblPr>
  </w:style>
  <w:style w:type="table" w:styleId="TableNormal4" w:customStyle="1">
    <w:name w:val="Table Normal4"/>
    <w:rsid w:val="006F08E0"/>
    <w:tblPr>
      <w:tblCellMar>
        <w:top w:w="0" w:type="dxa"/>
        <w:left w:w="0" w:type="dxa"/>
        <w:bottom w:w="0" w:type="dxa"/>
        <w:right w:w="0" w:type="dxa"/>
      </w:tblCellMar>
    </w:tblPr>
  </w:style>
  <w:style w:type="table" w:styleId="TableNormal3" w:customStyle="1">
    <w:name w:val="Table Normal3"/>
    <w:rsid w:val="009755B3"/>
    <w:tblPr>
      <w:tblCellMar>
        <w:top w:w="0" w:type="dxa"/>
        <w:left w:w="0" w:type="dxa"/>
        <w:bottom w:w="0" w:type="dxa"/>
        <w:right w:w="0" w:type="dxa"/>
      </w:tblCellMar>
    </w:tblPr>
  </w:style>
  <w:style w:type="table" w:styleId="TableNormal2" w:customStyle="1">
    <w:name w:val="Table Normal2"/>
    <w:rsid w:val="00A46C3D"/>
    <w:tblPr>
      <w:tblCellMar>
        <w:top w:w="0" w:type="dxa"/>
        <w:left w:w="0" w:type="dxa"/>
        <w:bottom w:w="0" w:type="dxa"/>
        <w:right w:w="0" w:type="dxa"/>
      </w:tblCellMar>
    </w:tblPr>
  </w:style>
  <w:style w:type="table" w:styleId="NormalTable00" w:customStyle="1">
    <w:name w:val="Normal Table00"/>
    <w:tblPr>
      <w:tblCellMar>
        <w:top w:w="0" w:type="dxa"/>
        <w:left w:w="0" w:type="dxa"/>
        <w:bottom w:w="0" w:type="dxa"/>
        <w:right w:w="0" w:type="dxa"/>
      </w:tblCellMar>
    </w:tblPr>
  </w:style>
  <w:style w:type="paragraph" w:styleId="Revisin">
    <w:name w:val="Revision"/>
    <w:hidden/>
    <w:uiPriority w:val="99"/>
    <w:semiHidden/>
    <w:rsid w:val="007858B3"/>
  </w:style>
  <w:style w:type="character" w:styleId="Hipervnculo">
    <w:name w:val="Hyperlink"/>
    <w:basedOn w:val="Fuentedeprrafopredeter"/>
    <w:uiPriority w:val="99"/>
    <w:unhideWhenUsed/>
    <w:rsid w:val="00615075"/>
    <w:rPr>
      <w:color w:val="0000FF"/>
      <w:u w:val="single"/>
    </w:rPr>
  </w:style>
  <w:style w:type="paragraph" w:styleId="Encabezado">
    <w:name w:val="header"/>
    <w:basedOn w:val="Normal2"/>
    <w:link w:val="EncabezadoCar"/>
    <w:uiPriority w:val="99"/>
    <w:semiHidden/>
    <w:unhideWhenUsed/>
    <w:rsid w:val="00C215DA"/>
    <w:pPr>
      <w:tabs>
        <w:tab w:val="center" w:pos="4252"/>
        <w:tab w:val="right" w:pos="8504"/>
      </w:tabs>
    </w:pPr>
  </w:style>
  <w:style w:type="character" w:styleId="EncabezadoCar" w:customStyle="1">
    <w:name w:val="Encabezado Car"/>
    <w:basedOn w:val="Fuentedeprrafopredeter"/>
    <w:link w:val="Encabezado"/>
    <w:uiPriority w:val="99"/>
    <w:semiHidden/>
    <w:rsid w:val="00C215DA"/>
  </w:style>
  <w:style w:type="paragraph" w:styleId="Piedepgina">
    <w:name w:val="footer"/>
    <w:basedOn w:val="Normal2"/>
    <w:link w:val="PiedepginaCar"/>
    <w:uiPriority w:val="99"/>
    <w:semiHidden/>
    <w:unhideWhenUsed/>
    <w:rsid w:val="00C215DA"/>
    <w:pPr>
      <w:tabs>
        <w:tab w:val="center" w:pos="4252"/>
        <w:tab w:val="right" w:pos="8504"/>
      </w:tabs>
    </w:pPr>
  </w:style>
  <w:style w:type="character" w:styleId="PiedepginaCar" w:customStyle="1">
    <w:name w:val="Pie de página Car"/>
    <w:basedOn w:val="Fuentedeprrafopredeter"/>
    <w:link w:val="Piedepgina"/>
    <w:uiPriority w:val="99"/>
    <w:semiHidden/>
    <w:rsid w:val="00C215DA"/>
  </w:style>
  <w:style w:type="character" w:styleId="Hipervnculovisitado">
    <w:name w:val="FollowedHyperlink"/>
    <w:basedOn w:val="Fuentedeprrafopredeter"/>
    <w:uiPriority w:val="99"/>
    <w:semiHidden/>
    <w:unhideWhenUsed/>
    <w:rsid w:val="00615075"/>
    <w:rPr>
      <w:color w:val="800080" w:themeColor="followedHyperlink"/>
      <w:u w:val="single"/>
    </w:rPr>
  </w:style>
  <w:style w:type="character" w:styleId="Fuerte">
    <w:name w:val="Strong"/>
    <w:basedOn w:val="Fuentedeprrafopredeter"/>
    <w:uiPriority w:val="22"/>
    <w:qFormat/>
    <w:rsid w:val="001466CE"/>
    <w:rPr>
      <w:b/>
      <w:bCs/>
    </w:rPr>
  </w:style>
  <w:style w:type="character" w:styleId="CommentReference" w:customStyle="1">
    <w:name w:val="Comment Reference"/>
    <w:basedOn w:val="Fuentedeprrafopredeter"/>
    <w:uiPriority w:val="99"/>
    <w:semiHidden/>
    <w:unhideWhenUsed/>
    <w:rsid w:val="003A12A1"/>
    <w:rPr>
      <w:sz w:val="16"/>
      <w:szCs w:val="16"/>
    </w:rPr>
  </w:style>
  <w:style w:type="paragraph" w:styleId="CommentText" w:customStyle="1">
    <w:name w:val="Comment Text"/>
    <w:basedOn w:val="Normal2"/>
    <w:link w:val="CommentTextChar"/>
    <w:uiPriority w:val="99"/>
    <w:unhideWhenUsed/>
    <w:rsid w:val="003A12A1"/>
    <w:rPr>
      <w:sz w:val="20"/>
      <w:szCs w:val="20"/>
    </w:rPr>
  </w:style>
  <w:style w:type="character" w:styleId="CommentTextChar" w:customStyle="1">
    <w:name w:val="Comment Text Char"/>
    <w:basedOn w:val="Fuentedeprrafopredeter"/>
    <w:link w:val="CommentText"/>
    <w:uiPriority w:val="99"/>
    <w:rsid w:val="003A12A1"/>
    <w:rPr>
      <w:sz w:val="20"/>
      <w:szCs w:val="20"/>
    </w:rPr>
  </w:style>
  <w:style w:type="paragraph" w:styleId="CommentSubject" w:customStyle="1">
    <w:name w:val="Comment Subject"/>
    <w:basedOn w:val="CommentText"/>
    <w:next w:val="CommentText"/>
    <w:link w:val="CommentSubjectChar"/>
    <w:uiPriority w:val="99"/>
    <w:semiHidden/>
    <w:unhideWhenUsed/>
    <w:rsid w:val="003A12A1"/>
    <w:rPr>
      <w:b/>
      <w:bCs/>
    </w:rPr>
  </w:style>
  <w:style w:type="character" w:styleId="CommentSubjectChar" w:customStyle="1">
    <w:name w:val="Comment Subject Char"/>
    <w:basedOn w:val="CommentTextChar"/>
    <w:link w:val="CommentSubject"/>
    <w:uiPriority w:val="99"/>
    <w:semiHidden/>
    <w:rsid w:val="003A12A1"/>
    <w:rPr>
      <w:b/>
      <w:bCs/>
      <w:sz w:val="20"/>
      <w:szCs w:val="20"/>
    </w:rPr>
  </w:style>
  <w:style w:type="table" w:styleId="TableNormal10" w:customStyle="1">
    <w:name w:val="Table Normal1"/>
    <w:rsid w:val="00FB6A16"/>
    <w:tblPr>
      <w:tblCellMar>
        <w:top w:w="0" w:type="dxa"/>
        <w:left w:w="0" w:type="dxa"/>
        <w:bottom w:w="0" w:type="dxa"/>
        <w:right w:w="0" w:type="dxa"/>
      </w:tblCellMar>
    </w:tblPr>
  </w:style>
  <w:style w:type="paragraph" w:styleId="Subttulo">
    <w:name w:val="Subtitle"/>
    <w:basedOn w:val="Normal2"/>
    <w:next w:val="Normal2"/>
    <w:uiPriority w:val="11"/>
    <w:qFormat/>
    <w:pPr>
      <w:keepNext/>
      <w:keepLines/>
      <w:spacing w:before="360" w:after="80"/>
    </w:pPr>
    <w:rPr>
      <w:rFonts w:ascii="Georgia" w:hAnsi="Georgia" w:eastAsia="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http://www.enac.es"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evamc@varenga.es" TargetMode="External" Id="rId14" /><Relationship Type="http://schemas.openxmlformats.org/officeDocument/2006/relationships/theme" Target="theme/theme1.xml" Id="rId22" /><Relationship Type="http://schemas.openxmlformats.org/officeDocument/2006/relationships/hyperlink" Target="https://www.enac.es/" TargetMode="External" Id="Rfe45aa31185a4f70" /><Relationship Type="http://schemas.openxmlformats.org/officeDocument/2006/relationships/hyperlink" Target="https://www.enac.es/documents/7020/15699/Guia_Desarrollo_Esquemas_Evaluacion/9e110982-2b6c-4e1f-b33b-e044c3ee57d4" TargetMode="External" Id="R9d910bcf744d4bf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oQgyFiX3iiEwc5S9oYQyk3Ip9g==">CgMxLjAaGgoBMBIVChMIBCoPCgtBQUFCM2ttMHdmYxABGhoKATESFQoTCAQqDwoLQUFBQjNrbTB3ZmcQASKuAgoLQUFBQjNrbTB3ZmMS+gEKC0FBQUIza20wd2ZjEgtBQUFCM2ttMHdmYxoNCgl0ZXh0L2h0bWwSACIOCgp0ZXh0L3BsYWluEgAqGyIVMTExOTg2Nzk1OTYzMTExNjQwMzQwKAA4ADDFi+ut0DM4/rnrrdAzSmAKJGFwcGxpY2F0aW9uL3ZuZC5nb29nbGUtYXBwcy5kb2NzLm1kcxo4wtfa5AEyGjAKLAomTGEgRW50aWRhZCBOYWNpb25hbCBkZSBBY3JlZGl0YWNpw7NuICgQARgAEAFaDHM3cnVqOGtleXYwN3ICIAB4AIIBFHN1Z2dlc3QuODg5YnVsb2JqN2wwmgEGCAAQABgAGMWL663QMyD+ueut0DNCFHN1Z2dlc3QuODg5YnVsb2JqN2wwIokCCgtBQUFCM2ttMHdmZxLVAQoLQUFBQjNrbTB3ZmcSC0FBQUIza20wd2ZnGg0KCXRleHQvaHRtbBIAIg4KCnRleHQvcGxhaW4SACobIhUxMTE5ODY3OTU5NjMxMTE2NDAzNDAoADgAMMLG663QMzjGzOut0DNKOwokYXBwbGljYXRpb24vdm5kLmdvb2dsZS1hcHBzLmRvY3MubWRzGhPC19rkAQ0aCwoHCgEpEAEYABABWgxybmtpaWEyMHl4OW1yAiAAeACCARRzdWdnZXN0LnVtc2Nwem1qN3d5eZoBBggAEAAYABjCxuut0DMgxszrrdAzQhRzdWdnZXN0LnVtc2Nwem1qN3d5eTgAaiMKFHN1Z2dlc3QuODg5YnVsb2JqN2wwEgtFdmEgTWFydMOtbmojChRzdWdnZXN0LnVtc2Nwem1qN3d5eRILRXZhIE1hcnTDrW5yITE5ekwzR1dyVm9MVXUzVG00V3BfMFBqLTNvbjhrbWF2S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35b7714a55062d14d892f3522112704a">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92a12215dc0792136b523b9589aa527d"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8E11DD-BF43-414E-8898-71289A2D4E9A}">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3.xml><?xml version="1.0" encoding="utf-8"?>
<ds:datastoreItem xmlns:ds="http://schemas.openxmlformats.org/officeDocument/2006/customXml" ds:itemID="{EE97F0F0-07F0-48B3-A3EB-E4F672F2BE51}">
  <ds:schemaRefs>
    <ds:schemaRef ds:uri="http://schemas.microsoft.com/sharepoint/v3/contenttype/forms"/>
  </ds:schemaRefs>
</ds:datastoreItem>
</file>

<file path=customXml/itemProps4.xml><?xml version="1.0" encoding="utf-8"?>
<ds:datastoreItem xmlns:ds="http://schemas.openxmlformats.org/officeDocument/2006/customXml" ds:itemID="{61CB2A14-F81E-4BFF-9D0D-AEA81E1469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Irene Gonzalez Fernandez</dc:creator>
  <lastModifiedBy>Eva Martín</lastModifiedBy>
  <revision>3</revision>
  <dcterms:created xsi:type="dcterms:W3CDTF">2026-03-20T07:53:00.0000000Z</dcterms:created>
  <dcterms:modified xsi:type="dcterms:W3CDTF">2026-03-20T10:21:54.6731211Z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