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9C64F6" w:rsidP="00AA3290" w:rsidRDefault="00AA3290" w14:paraId="585CCF4B" w14:textId="19E7FA1E">
      <w:pPr>
        <w:jc w:val="center"/>
        <w:rPr>
          <w:rFonts w:ascii="Roboto" w:hAnsi="Roboto" w:eastAsia="Roboto" w:cs="Roboto"/>
          <w:b/>
          <w:bCs/>
          <w:sz w:val="34"/>
          <w:szCs w:val="34"/>
          <w:lang w:val="es-ES"/>
        </w:rPr>
      </w:pPr>
      <w:commentRangeStart w:id="0"/>
      <w:r w:rsidRPr="2C19D7B0" w:rsidR="00AA3290">
        <w:rPr>
          <w:rFonts w:ascii="Roboto" w:hAnsi="Roboto" w:eastAsia="Roboto" w:cs="Roboto"/>
          <w:b w:val="1"/>
          <w:bCs w:val="1"/>
          <w:sz w:val="34"/>
          <w:szCs w:val="34"/>
          <w:lang w:val="es-ES"/>
        </w:rPr>
        <w:t>ENAC pone en marcha el esquema de acreditación de verificadores en el marco del Mecanismo de Ajuste en Frontera por Carbono (CBAM)</w:t>
      </w:r>
      <w:commentRangeEnd w:id="0"/>
      <w:r>
        <w:rPr>
          <w:rStyle w:val="CommentReference"/>
        </w:rPr>
        <w:commentReference w:id="0"/>
      </w:r>
    </w:p>
    <w:p w:rsidRPr="00AA3290" w:rsidR="00AA3290" w:rsidP="00AA3290" w:rsidRDefault="00AA3290" w14:paraId="20A94F76" w14:textId="77777777">
      <w:pPr>
        <w:jc w:val="center"/>
        <w:rPr>
          <w:rFonts w:ascii="Roboto" w:hAnsi="Roboto" w:eastAsia="Roboto" w:cs="Roboto"/>
          <w:b/>
          <w:bCs/>
          <w:sz w:val="34"/>
          <w:szCs w:val="34"/>
          <w:lang w:val="es-ES"/>
        </w:rPr>
      </w:pPr>
    </w:p>
    <w:p w:rsidR="009C64F6" w:rsidRDefault="006B781B" w14:paraId="585CCF4C" w14:textId="77777777">
      <w:pPr>
        <w:numPr>
          <w:ilvl w:val="0"/>
          <w:numId w:val="1"/>
        </w:numPr>
        <w:spacing w:after="160"/>
        <w:jc w:val="both"/>
        <w:rPr>
          <w:rFonts w:ascii="Roboto" w:hAnsi="Roboto" w:eastAsia="Roboto" w:cs="Roboto"/>
          <w:b/>
          <w:bCs/>
          <w:sz w:val="20"/>
          <w:szCs w:val="20"/>
        </w:rPr>
      </w:pPr>
      <w:r>
        <w:rPr>
          <w:rFonts w:ascii="Roboto" w:hAnsi="Roboto" w:eastAsia="Roboto" w:cs="Roboto"/>
          <w:b/>
          <w:bCs/>
          <w:sz w:val="22"/>
          <w:szCs w:val="22"/>
        </w:rPr>
        <w:t>Con la apertura de este nuevo ámbito de acreditación, ENAC contribuye a la aplicación en España del mecanismo CBAM y al establecimiento de un sistema sólido y confiable para la verificación de las emisiones asociadas a los productos importados.</w:t>
      </w:r>
    </w:p>
    <w:p w:rsidR="009C64F6" w:rsidRDefault="006B781B" w14:paraId="585CCF4D" w14:textId="77777777">
      <w:pPr>
        <w:jc w:val="both"/>
        <w:rPr>
          <w:rFonts w:ascii="Roboto" w:hAnsi="Roboto" w:eastAsia="Roboto" w:cs="Roboto"/>
          <w:sz w:val="22"/>
          <w:szCs w:val="22"/>
        </w:rPr>
      </w:pPr>
      <w:r>
        <w:rPr>
          <w:rFonts w:ascii="Roboto" w:hAnsi="Roboto" w:eastAsia="Roboto" w:cs="Roboto"/>
          <w:sz w:val="22"/>
          <w:szCs w:val="22"/>
        </w:rPr>
        <w:t xml:space="preserve"> </w:t>
      </w:r>
    </w:p>
    <w:p w:rsidR="009C64F6" w:rsidP="2C19D7B0" w:rsidRDefault="006B781B" w14:paraId="585CCF4E" w14:textId="1B970EB5">
      <w:pPr>
        <w:jc w:val="both"/>
        <w:rPr>
          <w:rFonts w:ascii="Roboto" w:hAnsi="Roboto" w:eastAsia="Roboto" w:cs="Roboto"/>
          <w:sz w:val="22"/>
          <w:szCs w:val="22"/>
          <w:lang w:val="es-ES"/>
        </w:rPr>
      </w:pPr>
      <w:r w:rsidRPr="2C19D7B0" w:rsidR="006B781B">
        <w:rPr>
          <w:rFonts w:ascii="Roboto" w:hAnsi="Roboto" w:eastAsia="Roboto" w:cs="Roboto"/>
          <w:sz w:val="22"/>
          <w:szCs w:val="22"/>
          <w:lang w:val="es-ES"/>
        </w:rPr>
        <w:t xml:space="preserve">Madrid, 23 de marzo de 2026.- La </w:t>
      </w:r>
      <w:hyperlink r:id="R980575f29c3c48fb">
        <w:r w:rsidRPr="2C19D7B0" w:rsidR="006B781B">
          <w:rPr>
            <w:rFonts w:ascii="Roboto" w:hAnsi="Roboto" w:eastAsia="Roboto" w:cs="Roboto"/>
            <w:b w:val="1"/>
            <w:bCs w:val="1"/>
            <w:color w:val="1155CC"/>
            <w:sz w:val="22"/>
            <w:szCs w:val="22"/>
            <w:u w:val="single"/>
            <w:lang w:val="es-ES"/>
          </w:rPr>
          <w:t>Entidad Nacional de Acreditación</w:t>
        </w:r>
      </w:hyperlink>
      <w:r w:rsidRPr="2C19D7B0" w:rsidR="006B781B">
        <w:rPr>
          <w:rFonts w:ascii="Roboto" w:hAnsi="Roboto" w:eastAsia="Roboto" w:cs="Roboto"/>
          <w:sz w:val="22"/>
          <w:szCs w:val="22"/>
          <w:lang w:val="es-ES"/>
        </w:rPr>
        <w:t xml:space="preserve"> (ENAC) ha abierto el proceso para la</w:t>
      </w:r>
      <w:r w:rsidRPr="2C19D7B0" w:rsidR="006B781B">
        <w:rPr>
          <w:rFonts w:ascii="Roboto" w:hAnsi="Roboto" w:eastAsia="Roboto" w:cs="Roboto"/>
          <w:b w:val="1"/>
          <w:bCs w:val="1"/>
          <w:sz w:val="22"/>
          <w:szCs w:val="22"/>
          <w:lang w:val="es-ES"/>
        </w:rPr>
        <w:t xml:space="preserve"> acreditación de </w:t>
      </w:r>
      <w:r w:rsidRPr="2C19D7B0" w:rsidR="0AA3D37C">
        <w:rPr>
          <w:rFonts w:ascii="Roboto" w:hAnsi="Roboto" w:eastAsia="Roboto" w:cs="Roboto"/>
          <w:b w:val="1"/>
          <w:bCs w:val="1"/>
          <w:sz w:val="22"/>
          <w:szCs w:val="22"/>
          <w:lang w:val="es-ES"/>
        </w:rPr>
        <w:t>organismos de</w:t>
      </w:r>
      <w:r w:rsidRPr="2C19D7B0" w:rsidR="006B781B">
        <w:rPr>
          <w:rFonts w:ascii="Roboto" w:hAnsi="Roboto" w:eastAsia="Roboto" w:cs="Roboto"/>
          <w:b w:val="1"/>
          <w:bCs w:val="1"/>
          <w:sz w:val="22"/>
          <w:szCs w:val="22"/>
          <w:lang w:val="es-ES"/>
        </w:rPr>
        <w:t xml:space="preserve">  verificación que deseen realizar la verificación de los datos de emisiones asociadas a determinadas mercancías importadas</w:t>
      </w:r>
      <w:r w:rsidRPr="2C19D7B0" w:rsidR="006B781B">
        <w:rPr>
          <w:rFonts w:ascii="Roboto" w:hAnsi="Roboto" w:eastAsia="Roboto" w:cs="Roboto"/>
          <w:sz w:val="22"/>
          <w:szCs w:val="22"/>
          <w:lang w:val="es-ES"/>
        </w:rPr>
        <w:t xml:space="preserve"> en la Unión Europea en el marco del nuevo </w:t>
      </w:r>
      <w:r w:rsidRPr="2C19D7B0" w:rsidR="006B781B">
        <w:rPr>
          <w:rFonts w:ascii="Roboto" w:hAnsi="Roboto" w:eastAsia="Roboto" w:cs="Roboto"/>
          <w:b w:val="1"/>
          <w:bCs w:val="1"/>
          <w:sz w:val="22"/>
          <w:szCs w:val="22"/>
          <w:lang w:val="es-ES"/>
        </w:rPr>
        <w:t>Mecanismo de Ajuste en Frontera por Carbono de la Unión Europea (CBAM)</w:t>
      </w:r>
      <w:r w:rsidRPr="2C19D7B0" w:rsidR="006B781B">
        <w:rPr>
          <w:rFonts w:ascii="Roboto" w:hAnsi="Roboto" w:eastAsia="Roboto" w:cs="Roboto"/>
          <w:sz w:val="22"/>
          <w:szCs w:val="22"/>
          <w:lang w:val="es-ES"/>
        </w:rPr>
        <w:t>.</w:t>
      </w:r>
    </w:p>
    <w:p w:rsidR="009C64F6" w:rsidRDefault="009C64F6" w14:paraId="585CCF4F" w14:textId="77777777">
      <w:pPr>
        <w:jc w:val="both"/>
        <w:rPr>
          <w:rFonts w:ascii="Roboto" w:hAnsi="Roboto" w:eastAsia="Roboto" w:cs="Roboto"/>
          <w:sz w:val="22"/>
          <w:szCs w:val="22"/>
        </w:rPr>
      </w:pPr>
    </w:p>
    <w:p w:rsidR="009C64F6" w:rsidRDefault="006B781B" w14:paraId="585CCF50" w14:textId="77777777">
      <w:pPr>
        <w:spacing w:after="160"/>
        <w:jc w:val="both"/>
        <w:rPr>
          <w:rFonts w:ascii="Roboto" w:hAnsi="Roboto" w:eastAsia="Roboto" w:cs="Roboto"/>
          <w:sz w:val="22"/>
          <w:szCs w:val="22"/>
        </w:rPr>
      </w:pPr>
      <w:r>
        <w:rPr>
          <w:rFonts w:ascii="Roboto" w:hAnsi="Roboto" w:eastAsia="Roboto" w:cs="Roboto"/>
          <w:sz w:val="22"/>
          <w:szCs w:val="22"/>
        </w:rPr>
        <w:t xml:space="preserve">El CBAM, </w:t>
      </w:r>
      <w:r>
        <w:rPr>
          <w:rFonts w:ascii="Roboto" w:hAnsi="Roboto" w:eastAsia="Roboto" w:cs="Roboto"/>
          <w:b/>
          <w:bCs/>
          <w:sz w:val="22"/>
          <w:szCs w:val="22"/>
        </w:rPr>
        <w:t>aplicable, en su fase definitiva, desde el 1 de enero de 2026,</w:t>
      </w:r>
      <w:r>
        <w:rPr>
          <w:rFonts w:ascii="Roboto" w:hAnsi="Roboto" w:eastAsia="Roboto" w:cs="Roboto"/>
          <w:sz w:val="22"/>
          <w:szCs w:val="22"/>
        </w:rPr>
        <w:t xml:space="preserve"> es un instrumento de la política climática de la Unión Europea destinado a evitar la denominada fuga de carbono y a garantizar unas condiciones de competencia equivalentes entre los productores de la UE y los de terceros países. Para ello, establece un sistema mediante el cual determinadas importaciones deben reflejar un coste del carbono equivalente al aplicado a la producción dentro de la Unión Europea a través del Sistema Europeo de Comercio </w:t>
      </w:r>
      <w:r>
        <w:rPr>
          <w:rFonts w:ascii="Roboto" w:hAnsi="Roboto" w:eastAsia="Roboto" w:cs="Roboto"/>
          <w:sz w:val="22"/>
          <w:szCs w:val="22"/>
        </w:rPr>
        <w:t>de Derechos de Emisión (EU ETS).</w:t>
      </w:r>
    </w:p>
    <w:p w:rsidR="009C64F6" w:rsidP="2C19D7B0" w:rsidRDefault="006B781B" w14:paraId="585CCF51" w14:textId="408D420F">
      <w:pPr>
        <w:spacing w:after="160"/>
        <w:jc w:val="both"/>
        <w:rPr>
          <w:rFonts w:ascii="Roboto" w:hAnsi="Roboto" w:eastAsia="Roboto" w:cs="Roboto"/>
          <w:sz w:val="22"/>
          <w:szCs w:val="22"/>
          <w:lang w:val="es-ES"/>
        </w:rPr>
      </w:pPr>
      <w:r w:rsidRPr="2C19D7B0" w:rsidR="006B781B">
        <w:rPr>
          <w:rFonts w:ascii="Roboto" w:hAnsi="Roboto" w:eastAsia="Roboto" w:cs="Roboto"/>
          <w:sz w:val="22"/>
          <w:szCs w:val="22"/>
          <w:lang w:val="es-ES"/>
        </w:rPr>
        <w:t xml:space="preserve">En este contexto, </w:t>
      </w:r>
      <w:r w:rsidRPr="2C19D7B0" w:rsidR="006B781B">
        <w:rPr>
          <w:rFonts w:ascii="Roboto" w:hAnsi="Roboto" w:eastAsia="Roboto" w:cs="Roboto"/>
          <w:b w:val="1"/>
          <w:bCs w:val="1"/>
          <w:sz w:val="22"/>
          <w:szCs w:val="22"/>
          <w:lang w:val="es-ES"/>
        </w:rPr>
        <w:t xml:space="preserve">los datos relativos a las emisiones implícitas </w:t>
      </w:r>
      <w:r w:rsidRPr="2C19D7B0" w:rsidR="006B781B">
        <w:rPr>
          <w:rFonts w:ascii="Roboto" w:hAnsi="Roboto" w:eastAsia="Roboto" w:cs="Roboto"/>
          <w:b w:val="1"/>
          <w:bCs w:val="1"/>
          <w:sz w:val="22"/>
          <w:szCs w:val="22"/>
          <w:lang w:val="es-ES"/>
        </w:rPr>
        <w:t>en las mercancías importadas deben ser verificados por entidades acreditadas</w:t>
      </w:r>
      <w:r w:rsidRPr="2C19D7B0" w:rsidR="006B781B">
        <w:rPr>
          <w:rFonts w:ascii="Roboto" w:hAnsi="Roboto" w:eastAsia="Roboto" w:cs="Roboto"/>
          <w:sz w:val="22"/>
          <w:szCs w:val="22"/>
          <w:lang w:val="es-ES"/>
        </w:rPr>
        <w:t xml:space="preserve"> para que puedan ser utilizados en las declaraciones CBAM. La acreditación de estas entidades está prevista en el </w:t>
      </w:r>
      <w:r w:rsidRPr="2C19D7B0" w:rsidR="006B781B">
        <w:rPr>
          <w:rFonts w:ascii="Roboto" w:hAnsi="Roboto" w:eastAsia="Roboto" w:cs="Roboto"/>
          <w:b w:val="1"/>
          <w:bCs w:val="1"/>
          <w:sz w:val="22"/>
          <w:szCs w:val="22"/>
          <w:lang w:val="es-ES"/>
        </w:rPr>
        <w:t>artículo 18 del Reglamento (UE) 2023/956</w:t>
      </w:r>
      <w:r w:rsidRPr="2C19D7B0" w:rsidR="006B781B">
        <w:rPr>
          <w:rFonts w:ascii="Roboto" w:hAnsi="Roboto" w:eastAsia="Roboto" w:cs="Roboto"/>
          <w:sz w:val="22"/>
          <w:szCs w:val="22"/>
          <w:lang w:val="es-ES"/>
        </w:rPr>
        <w:t xml:space="preserve">, mientras que los requisitos específicos para su concesión se establecen en el </w:t>
      </w:r>
      <w:r w:rsidRPr="2C19D7B0" w:rsidR="006B781B">
        <w:rPr>
          <w:rFonts w:ascii="Roboto" w:hAnsi="Roboto" w:eastAsia="Roboto" w:cs="Roboto"/>
          <w:b w:val="1"/>
          <w:bCs w:val="1"/>
          <w:sz w:val="22"/>
          <w:szCs w:val="22"/>
          <w:lang w:val="es-ES"/>
        </w:rPr>
        <w:t xml:space="preserve">Reglamento </w:t>
      </w:r>
      <w:bookmarkStart w:name="_Int_rCvHu29n" w:id="2136536231"/>
      <w:r w:rsidRPr="2C19D7B0" w:rsidR="006B781B">
        <w:rPr>
          <w:rFonts w:ascii="Roboto" w:hAnsi="Roboto" w:eastAsia="Roboto" w:cs="Roboto"/>
          <w:b w:val="1"/>
          <w:bCs w:val="1"/>
          <w:sz w:val="22"/>
          <w:szCs w:val="22"/>
          <w:lang w:val="es-ES"/>
        </w:rPr>
        <w:t>Delegado</w:t>
      </w:r>
      <w:bookmarkEnd w:id="2136536231"/>
      <w:r w:rsidRPr="2C19D7B0" w:rsidR="006B781B">
        <w:rPr>
          <w:rFonts w:ascii="Roboto" w:hAnsi="Roboto" w:eastAsia="Roboto" w:cs="Roboto"/>
          <w:b w:val="1"/>
          <w:bCs w:val="1"/>
          <w:sz w:val="22"/>
          <w:szCs w:val="22"/>
          <w:lang w:val="es-ES"/>
        </w:rPr>
        <w:t xml:space="preserve"> (UE) 2025/2551</w:t>
      </w:r>
      <w:r w:rsidRPr="2C19D7B0" w:rsidR="006B781B">
        <w:rPr>
          <w:rFonts w:ascii="Roboto" w:hAnsi="Roboto" w:eastAsia="Roboto" w:cs="Roboto"/>
          <w:sz w:val="22"/>
          <w:szCs w:val="22"/>
          <w:lang w:val="es-ES"/>
        </w:rPr>
        <w:t>.</w:t>
      </w:r>
    </w:p>
    <w:p w:rsidR="009C64F6" w:rsidRDefault="006B781B" w14:paraId="585CCF52" w14:textId="77777777">
      <w:pPr>
        <w:spacing w:after="160"/>
        <w:jc w:val="both"/>
        <w:rPr>
          <w:rFonts w:ascii="Roboto" w:hAnsi="Roboto" w:eastAsia="Roboto" w:cs="Roboto"/>
          <w:sz w:val="22"/>
          <w:szCs w:val="22"/>
        </w:rPr>
      </w:pPr>
      <w:r>
        <w:rPr>
          <w:rFonts w:ascii="Roboto" w:hAnsi="Roboto" w:eastAsia="Roboto" w:cs="Roboto"/>
          <w:sz w:val="22"/>
          <w:szCs w:val="22"/>
        </w:rPr>
        <w:t>Las entidades que deseen realizar estas actividades deberán demostrar competencia técnica específica para los grupos de actividades cubiertos por el mecanismo, entre los que se incluyen sectores como cemento, fundición, hierro y acero, aluminio, abonos, hidrógeno y electricidad, con el objetivo de aportar la fiabilidad, imparcialidad y coherencia necesarias a las verificaciones realizadas.</w:t>
      </w:r>
    </w:p>
    <w:p w:rsidR="009C64F6" w:rsidRDefault="006B781B" w14:paraId="585CCF53" w14:textId="77777777">
      <w:pPr>
        <w:spacing w:after="160"/>
        <w:jc w:val="both"/>
        <w:rPr>
          <w:rFonts w:ascii="Roboto" w:hAnsi="Roboto" w:eastAsia="Roboto" w:cs="Roboto"/>
          <w:sz w:val="22"/>
          <w:szCs w:val="22"/>
        </w:rPr>
      </w:pPr>
      <w:r w:rsidRPr="2C19D7B0" w:rsidR="006B781B">
        <w:rPr>
          <w:rFonts w:ascii="Roboto" w:hAnsi="Roboto" w:eastAsia="Roboto" w:cs="Roboto"/>
          <w:sz w:val="22"/>
          <w:szCs w:val="22"/>
        </w:rPr>
        <w:t>Con la apertura de este nuevo ámbito de acreditación, ENAC contribuye a la aplicación en España del mecanismo CBAM y al establecimiento de un sistema sólido y confiable para la verificación de las emisiones asociadas a los productos importados.</w:t>
      </w:r>
    </w:p>
    <w:p w:rsidR="1C75265B" w:rsidP="2C19D7B0" w:rsidRDefault="1C75265B" w14:paraId="10D456D1" w14:textId="68035667">
      <w:pPr>
        <w:spacing w:before="0" w:beforeAutospacing="off" w:after="0" w:afterAutospacing="off"/>
        <w:jc w:val="both"/>
      </w:pPr>
      <w:r w:rsidRPr="2C19D7B0" w:rsidR="1C75265B">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Los requisitos particulares pueden consultarse en el </w:t>
      </w:r>
      <w:hyperlink r:id="Re2febbde1c5945f7">
        <w:r w:rsidRPr="2C19D7B0" w:rsidR="1C75265B">
          <w:rPr>
            <w:rStyle w:val="Hipervnculo"/>
            <w:rFonts w:ascii="Roboto" w:hAnsi="Roboto" w:eastAsia="Roboto" w:cs="Roboto"/>
            <w:b w:val="0"/>
            <w:bCs w:val="0"/>
            <w:i w:val="0"/>
            <w:iCs w:val="0"/>
            <w:strike w:val="0"/>
            <w:dstrike w:val="0"/>
            <w:noProof w:val="0"/>
            <w:color w:val="1155CC"/>
            <w:sz w:val="22"/>
            <w:szCs w:val="22"/>
            <w:u w:val="none"/>
            <w:lang w:val="es-ES"/>
          </w:rPr>
          <w:t>documento RDE 06</w:t>
        </w:r>
      </w:hyperlink>
      <w:r w:rsidRPr="2C19D7B0" w:rsidR="1C75265B">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sobre </w:t>
      </w:r>
      <w:r w:rsidRPr="2C19D7B0" w:rsidR="1C75265B">
        <w:rPr>
          <w:rFonts w:ascii="Roboto" w:hAnsi="Roboto" w:eastAsia="Roboto" w:cs="Roboto"/>
          <w:b w:val="1"/>
          <w:bCs w:val="1"/>
          <w:i w:val="0"/>
          <w:iCs w:val="0"/>
          <w:strike w:val="0"/>
          <w:dstrike w:val="0"/>
          <w:noProof w:val="0"/>
          <w:color w:val="000000" w:themeColor="text1" w:themeTint="FF" w:themeShade="FF"/>
          <w:sz w:val="22"/>
          <w:szCs w:val="22"/>
          <w:u w:val="none"/>
          <w:lang w:val="es-ES"/>
        </w:rPr>
        <w:t>Requisitos particulares para la Acreditación de Verificadores del Régimen de Comercio de Derechos de Emisión de Gases de Efecto Invernadero (VCDE), de Verificadores de Informes de emisiones de gas CO2 de los operadores de aviación internacional, CORSIA y de Verificadores de informes de emisiones del Mecanismo de Ajuste en Frontera por Carbono (</w:t>
      </w:r>
      <w:r w:rsidRPr="2C19D7B0" w:rsidR="1C75265B">
        <w:rPr>
          <w:rFonts w:ascii="Roboto" w:hAnsi="Roboto" w:eastAsia="Roboto" w:cs="Roboto"/>
          <w:b w:val="1"/>
          <w:bCs w:val="1"/>
          <w:i w:val="0"/>
          <w:iCs w:val="0"/>
          <w:strike w:val="0"/>
          <w:dstrike w:val="0"/>
          <w:noProof w:val="0"/>
          <w:color w:val="000000" w:themeColor="text1" w:themeTint="FF" w:themeShade="FF"/>
          <w:sz w:val="22"/>
          <w:szCs w:val="22"/>
          <w:u w:val="none"/>
          <w:lang w:val="es-ES"/>
        </w:rPr>
        <w:t>MAFC) recientemente</w:t>
      </w:r>
      <w:r w:rsidRPr="2C19D7B0" w:rsidR="1C75265B">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publicado. </w:t>
      </w:r>
    </w:p>
    <w:p w:rsidR="2C19D7B0" w:rsidP="2C19D7B0" w:rsidRDefault="2C19D7B0" w14:paraId="01E4B379" w14:textId="5F05982E">
      <w:pPr>
        <w:jc w:val="both"/>
      </w:pPr>
    </w:p>
    <w:p w:rsidR="009C64F6" w:rsidRDefault="006B781B" w14:paraId="585CCF56"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sz w:val="22"/>
          <w:szCs w:val="22"/>
        </w:rPr>
      </w:pPr>
      <w:r>
        <w:rPr>
          <w:rFonts w:ascii="Roboto" w:hAnsi="Roboto" w:eastAsia="Roboto" w:cs="Roboto"/>
          <w:b/>
          <w:bCs/>
          <w:color w:val="E83544"/>
          <w:sz w:val="22"/>
          <w:szCs w:val="22"/>
        </w:rPr>
        <w:t>Sobre ENAC</w:t>
      </w:r>
      <w:r>
        <w:rPr>
          <w:rFonts w:ascii="Roboto" w:hAnsi="Roboto" w:eastAsia="Roboto" w:cs="Roboto"/>
          <w:color w:val="E83544"/>
          <w:sz w:val="22"/>
          <w:szCs w:val="22"/>
        </w:rPr>
        <w:t xml:space="preserve"> </w:t>
      </w:r>
    </w:p>
    <w:p w:rsidR="009C64F6" w:rsidRDefault="006B781B" w14:paraId="585CCF5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9C64F6" w:rsidRDefault="009C64F6" w14:paraId="585CCF5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C64F6" w:rsidRDefault="006B781B" w14:paraId="585CCF5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sz w:val="22"/>
          <w:szCs w:val="22"/>
        </w:rPr>
        <w:t xml:space="preserve">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rsidR="009C64F6" w:rsidRDefault="009C64F6" w14:paraId="585CCF5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C64F6" w:rsidRDefault="006B781B" w14:paraId="585CCF5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9C64F6" w:rsidRDefault="009C64F6" w14:paraId="585CCF5C" w14:textId="77777777">
      <w:pPr>
        <w:jc w:val="both"/>
        <w:rPr>
          <w:rFonts w:ascii="Roboto" w:hAnsi="Roboto" w:eastAsia="Roboto" w:cs="Roboto"/>
          <w:sz w:val="22"/>
          <w:szCs w:val="22"/>
        </w:rPr>
      </w:pPr>
    </w:p>
    <w:p w:rsidR="009C64F6" w:rsidRDefault="009C64F6" w14:paraId="585CCF5D" w14:textId="77777777">
      <w:pPr>
        <w:jc w:val="both"/>
        <w:rPr>
          <w:rFonts w:ascii="Roboto" w:hAnsi="Roboto" w:eastAsia="Roboto" w:cs="Roboto"/>
          <w:sz w:val="22"/>
          <w:szCs w:val="22"/>
        </w:rPr>
      </w:pPr>
    </w:p>
    <w:p w:rsidR="009C64F6" w:rsidRDefault="006B781B" w14:paraId="585CCF5E" w14:textId="77777777">
      <w:pPr>
        <w:pBdr>
          <w:bottom w:val="single" w:color="000000" w:sz="12" w:space="1"/>
        </w:pBdr>
        <w:jc w:val="both"/>
        <w:rPr>
          <w:rFonts w:ascii="Roboto" w:hAnsi="Roboto" w:eastAsia="Roboto" w:cs="Roboto"/>
          <w:color w:val="E83544"/>
          <w:sz w:val="22"/>
          <w:szCs w:val="22"/>
        </w:rPr>
      </w:pPr>
      <w:hyperlink r:id="rId17">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9C64F6" w:rsidRDefault="009C64F6" w14:paraId="585CCF5F" w14:textId="77777777">
      <w:pPr>
        <w:pBdr>
          <w:bottom w:val="single" w:color="000000" w:sz="12" w:space="1"/>
        </w:pBdr>
        <w:jc w:val="both"/>
        <w:rPr>
          <w:rFonts w:ascii="Roboto" w:hAnsi="Roboto" w:eastAsia="Roboto" w:cs="Roboto"/>
          <w:color w:val="E83544"/>
          <w:sz w:val="22"/>
          <w:szCs w:val="22"/>
        </w:rPr>
      </w:pPr>
    </w:p>
    <w:p w:rsidR="009C64F6" w:rsidRDefault="006B781B" w14:paraId="585CCF60"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585CCF6B" wp14:editId="585CCF6C">
            <wp:extent cx="304800" cy="304800"/>
            <wp:effectExtent l="0" t="0" r="0" b="0"/>
            <wp:docPr id="17099659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04800" cy="304800"/>
                    </a:xfrm>
                    <a:prstGeom prst="rect">
                      <a:avLst/>
                    </a:prstGeom>
                    <a:ln/>
                  </pic:spPr>
                </pic:pic>
              </a:graphicData>
            </a:graphic>
          </wp:inline>
        </w:drawing>
      </w:r>
    </w:p>
    <w:p w:rsidR="009C64F6" w:rsidRDefault="009C64F6" w14:paraId="585CCF61" w14:textId="77777777">
      <w:pPr>
        <w:pBdr>
          <w:bottom w:val="single" w:color="000000" w:sz="12" w:space="1"/>
        </w:pBdr>
        <w:jc w:val="both"/>
        <w:rPr>
          <w:rFonts w:ascii="Roboto" w:hAnsi="Roboto" w:eastAsia="Roboto" w:cs="Roboto"/>
          <w:color w:val="E83544"/>
          <w:sz w:val="22"/>
          <w:szCs w:val="22"/>
        </w:rPr>
      </w:pPr>
    </w:p>
    <w:p w:rsidR="009C64F6" w:rsidRDefault="009C64F6" w14:paraId="585CCF62" w14:textId="77777777">
      <w:pPr>
        <w:jc w:val="both"/>
        <w:rPr>
          <w:rFonts w:ascii="Roboto" w:hAnsi="Roboto" w:eastAsia="Roboto" w:cs="Roboto"/>
          <w:color w:val="E83544"/>
          <w:sz w:val="22"/>
          <w:szCs w:val="22"/>
        </w:rPr>
      </w:pPr>
    </w:p>
    <w:p w:rsidR="009C64F6" w:rsidRDefault="006B781B" w14:paraId="585CCF63"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9C64F6" w:rsidRDefault="006B781B" w14:paraId="585CCF64" w14:textId="77777777">
      <w:pPr>
        <w:jc w:val="both"/>
        <w:rPr>
          <w:rFonts w:ascii="Roboto" w:hAnsi="Roboto" w:eastAsia="Roboto" w:cs="Roboto"/>
          <w:sz w:val="22"/>
          <w:szCs w:val="22"/>
        </w:rPr>
      </w:pPr>
      <w:r>
        <w:rPr>
          <w:rFonts w:ascii="Roboto" w:hAnsi="Roboto" w:eastAsia="Roboto" w:cs="Roboto"/>
          <w:sz w:val="22"/>
          <w:szCs w:val="22"/>
        </w:rPr>
        <w:t>Eva Martín</w:t>
      </w:r>
    </w:p>
    <w:p w:rsidR="009C64F6" w:rsidRDefault="006B781B" w14:paraId="585CCF65" w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9">
        <w:r>
          <w:rPr>
            <w:rFonts w:ascii="Roboto" w:hAnsi="Roboto" w:eastAsia="Roboto" w:cs="Roboto"/>
            <w:color w:val="E83544"/>
            <w:sz w:val="22"/>
            <w:szCs w:val="22"/>
            <w:u w:val="single"/>
          </w:rPr>
          <w:t>evamc@varenga.es</w:t>
        </w:r>
      </w:hyperlink>
    </w:p>
    <w:p w:rsidR="009C64F6" w:rsidRDefault="009C64F6" w14:paraId="585CCF66" w14:textId="77777777">
      <w:pPr>
        <w:spacing w:after="160"/>
        <w:jc w:val="both"/>
        <w:rPr>
          <w:rFonts w:ascii="Roboto" w:hAnsi="Roboto" w:eastAsia="Roboto" w:cs="Roboto"/>
          <w:color w:val="333333"/>
          <w:sz w:val="27"/>
          <w:szCs w:val="27"/>
          <w:highlight w:val="white"/>
        </w:rPr>
      </w:pPr>
    </w:p>
    <w:p w:rsidR="009C64F6" w:rsidRDefault="009C64F6" w14:paraId="585CCF67" w14:textId="77777777"/>
    <w:p w:rsidR="009C64F6" w:rsidRDefault="009C64F6" w14:paraId="585CCF68" w14:textId="77777777"/>
    <w:p w:rsidR="009C64F6" w:rsidRDefault="009C64F6" w14:paraId="585CCF69" w14:textId="77777777"/>
    <w:p w:rsidR="009C64F6" w:rsidRDefault="009C64F6" w14:paraId="585CCF6A" w14:textId="77777777">
      <w:pPr>
        <w:pBdr>
          <w:top w:val="nil"/>
          <w:left w:val="nil"/>
          <w:bottom w:val="nil"/>
          <w:right w:val="nil"/>
          <w:between w:val="nil"/>
        </w:pBdr>
        <w:rPr>
          <w:rFonts w:ascii="Calibri" w:hAnsi="Calibri" w:eastAsia="Calibri" w:cs="Calibri"/>
          <w:highlight w:val="white"/>
        </w:rPr>
      </w:pPr>
    </w:p>
    <w:sectPr w:rsidR="009C64F6">
      <w:headerReference w:type="even" r:id="rId20"/>
      <w:headerReference w:type="default" r:id="rId21"/>
      <w:footerReference w:type="even" r:id="rId22"/>
      <w:footerReference w:type="default" r:id="rId23"/>
      <w:headerReference w:type="first" r:id="rId24"/>
      <w:footerReference w:type="first" r:id="rId25"/>
      <w:pgSz w:w="11906" w:h="16838" w:orient="portrait"/>
      <w:pgMar w:top="1417" w:right="1701" w:bottom="1276" w:left="1701"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SP" w:author="Soledad Pacheco Alonso" w:date="2026-03-23T11:21:00Z" w:id="0">
    <w:p w:rsidR="00957D1B" w:rsidP="00957D1B" w:rsidRDefault="00957D1B" w14:paraId="575C375E" w14:textId="77777777">
      <w:pPr>
        <w:pStyle w:val="Textocomentario"/>
      </w:pPr>
      <w:r>
        <w:rPr>
          <w:rStyle w:val="Refdecomentario"/>
        </w:rPr>
        <w:annotationRef/>
      </w:r>
      <w:r>
        <w:t>He puesto el titular como estaba que prefiero que no haya cambios en este</w:t>
      </w:r>
    </w:p>
  </w:comment>
</w:comments>
</file>

<file path=word/commentsExtended.xml><?xml version="1.0" encoding="utf-8"?>
<w15:commentsEx xmlns:mc="http://schemas.openxmlformats.org/markup-compatibility/2006" xmlns:w15="http://schemas.microsoft.com/office/word/2012/wordml" mc:Ignorable="w15">
  <w15:commentEx w15:done="1" w15:paraId="575C375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CF65E16" w16cex:dateUtc="2026-03-23T10:21:00Z"/>
</w16cex:commentsExtensible>
</file>

<file path=word/commentsIds.xml><?xml version="1.0" encoding="utf-8"?>
<w16cid:commentsIds xmlns:mc="http://schemas.openxmlformats.org/markup-compatibility/2006" xmlns:w16cid="http://schemas.microsoft.com/office/word/2016/wordml/cid" mc:Ignorable="w16cid">
  <w16cid:commentId w16cid:paraId="575C375E" w16cid:durableId="6CF65E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781B" w:rsidRDefault="006B781B" w14:paraId="0DE4A4CA" w14:textId="77777777">
      <w:r>
        <w:separator/>
      </w:r>
    </w:p>
  </w:endnote>
  <w:endnote w:type="continuationSeparator" w:id="0">
    <w:p w:rsidR="006B781B" w:rsidRDefault="006B781B" w14:paraId="6D39A9C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B5436EA7-6E0B-45F4-AE11-E6EF2BAD447A}" r:id="rId1"/>
  </w:font>
  <w:font w:name="Roboto">
    <w:panose1 w:val="02000000000000000000"/>
    <w:charset w:val="00"/>
    <w:family w:val="auto"/>
    <w:pitch w:val="variable"/>
    <w:sig w:usb0="E0000AFF" w:usb1="5000217F" w:usb2="00000021" w:usb3="00000000" w:csb0="0000019F" w:csb1="00000000"/>
    <w:embedRegular w:fontKey="{AEED032E-FBD9-4A6F-9A1B-1B1E8D188882}" r:id="rId2"/>
    <w:embedBold w:fontKey="{5953D2CB-AA37-49A8-ACB9-4FDFA1328CC9}" r:id="rId3"/>
  </w:font>
  <w:font w:name="Calibri">
    <w:panose1 w:val="020F0502020204030204"/>
    <w:charset w:val="00"/>
    <w:family w:val="swiss"/>
    <w:pitch w:val="variable"/>
    <w:sig w:usb0="E4002EFF" w:usb1="C200247B" w:usb2="00000009" w:usb3="00000000" w:csb0="000001FF" w:csb1="00000000"/>
    <w:embedRegular w:fontKey="{C55C7CFF-B8D1-4685-A160-142129F9A459}" r:id="rId4"/>
  </w:font>
  <w:font w:name="Cambria">
    <w:panose1 w:val="02040503050406030204"/>
    <w:charset w:val="00"/>
    <w:family w:val="roman"/>
    <w:pitch w:val="variable"/>
    <w:sig w:usb0="E00006FF" w:usb1="420024FF" w:usb2="02000000" w:usb3="00000000" w:csb0="0000019F" w:csb1="00000000"/>
    <w:embedRegular w:fontKey="{80EEB0D4-373B-40DE-B042-9CFD72EC27F2}"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64F6" w:rsidRDefault="009C64F6" w14:paraId="585CCF74"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64F6" w:rsidRDefault="006B781B" w14:paraId="585CCF75" w14:textId="0337DE23">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AA3290">
      <w:rPr>
        <w:noProof/>
        <w:color w:val="000000"/>
      </w:rPr>
      <w:t>1</w:t>
    </w:r>
    <w:r>
      <w:rPr>
        <w:color w:val="000000"/>
      </w:rPr>
      <w:fldChar w:fldCharType="end"/>
    </w:r>
  </w:p>
  <w:p w:rsidR="009C64F6" w:rsidRDefault="009C64F6" w14:paraId="585CCF76"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64F6" w:rsidRDefault="009C64F6" w14:paraId="585CCF78"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781B" w:rsidRDefault="006B781B" w14:paraId="6AA2C30D" w14:textId="77777777">
      <w:r>
        <w:separator/>
      </w:r>
    </w:p>
  </w:footnote>
  <w:footnote w:type="continuationSeparator" w:id="0">
    <w:p w:rsidR="006B781B" w:rsidRDefault="006B781B" w14:paraId="0885D83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64F6" w:rsidRDefault="009C64F6" w14:paraId="585CCF6D"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C64F6" w:rsidRDefault="006B781B" w14:paraId="585CCF6E" w14:textId="77777777">
    <w:pPr>
      <w:spacing w:line="276" w:lineRule="auto"/>
    </w:pPr>
    <w:r>
      <w:t xml:space="preserve">                                                                           </w:t>
    </w:r>
    <w:r>
      <w:rPr>
        <w:noProof/>
      </w:rPr>
      <w:drawing>
        <wp:anchor distT="0" distB="0" distL="0" distR="0" simplePos="0" relativeHeight="251658240" behindDoc="0" locked="0" layoutInCell="1" hidden="0" allowOverlap="1" wp14:anchorId="585CCF79" wp14:editId="585CCF7A">
          <wp:simplePos x="0" y="0"/>
          <wp:positionH relativeFrom="column">
            <wp:posOffset>19050</wp:posOffset>
          </wp:positionH>
          <wp:positionV relativeFrom="paragraph">
            <wp:posOffset>19050</wp:posOffset>
          </wp:positionV>
          <wp:extent cx="1240365" cy="805879"/>
          <wp:effectExtent l="0" t="0" r="0" b="0"/>
          <wp:wrapNone/>
          <wp:docPr id="17099659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40365" cy="805879"/>
                  </a:xfrm>
                  <a:prstGeom prst="rect">
                    <a:avLst/>
                  </a:prstGeom>
                  <a:ln/>
                </pic:spPr>
              </pic:pic>
            </a:graphicData>
          </a:graphic>
        </wp:anchor>
      </w:drawing>
    </w:r>
    <w:r>
      <w:rPr>
        <w:noProof/>
      </w:rPr>
      <w:drawing>
        <wp:anchor distT="0" distB="0" distL="0" distR="0" simplePos="0" relativeHeight="251659264" behindDoc="0" locked="0" layoutInCell="1" hidden="0" allowOverlap="1" wp14:anchorId="585CCF7B" wp14:editId="585CCF7C">
          <wp:simplePos x="0" y="0"/>
          <wp:positionH relativeFrom="column">
            <wp:posOffset>4152900</wp:posOffset>
          </wp:positionH>
          <wp:positionV relativeFrom="paragraph">
            <wp:posOffset>142875</wp:posOffset>
          </wp:positionV>
          <wp:extent cx="1157297" cy="684798"/>
          <wp:effectExtent l="0" t="0" r="0" b="0"/>
          <wp:wrapNone/>
          <wp:docPr id="17099659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8" b="-8"/>
                  <a:stretch>
                    <a:fillRect/>
                  </a:stretch>
                </pic:blipFill>
                <pic:spPr>
                  <a:xfrm>
                    <a:off x="0" y="0"/>
                    <a:ext cx="1157297" cy="684798"/>
                  </a:xfrm>
                  <a:prstGeom prst="rect">
                    <a:avLst/>
                  </a:prstGeom>
                  <a:ln/>
                </pic:spPr>
              </pic:pic>
            </a:graphicData>
          </a:graphic>
        </wp:anchor>
      </w:drawing>
    </w:r>
  </w:p>
  <w:p w:rsidR="009C64F6" w:rsidRDefault="009C64F6" w14:paraId="585CCF6F" w14:textId="77777777">
    <w:pPr>
      <w:spacing w:line="276" w:lineRule="auto"/>
    </w:pPr>
  </w:p>
  <w:p w:rsidR="009C64F6" w:rsidRDefault="006B781B" w14:paraId="585CCF70" w14:textId="77777777">
    <w:pPr>
      <w:spacing w:line="276" w:lineRule="auto"/>
      <w:jc w:val="center"/>
      <w:rPr>
        <w:rFonts w:ascii="Roboto" w:hAnsi="Roboto" w:eastAsia="Roboto" w:cs="Roboto"/>
        <w:sz w:val="22"/>
        <w:szCs w:val="22"/>
      </w:rPr>
    </w:pPr>
    <w:r>
      <w:rPr>
        <w:rFonts w:ascii="Roboto" w:hAnsi="Roboto" w:eastAsia="Roboto" w:cs="Roboto"/>
        <w:b/>
        <w:bCs/>
        <w:sz w:val="40"/>
        <w:szCs w:val="40"/>
      </w:rPr>
      <w:t>NOTA DE PRENSA</w:t>
    </w:r>
    <w:r>
      <w:rPr>
        <w:rFonts w:ascii="Roboto" w:hAnsi="Roboto" w:eastAsia="Roboto" w:cs="Roboto"/>
        <w:sz w:val="22"/>
        <w:szCs w:val="22"/>
      </w:rPr>
      <w:t xml:space="preserve"> </w:t>
    </w:r>
  </w:p>
  <w:p w:rsidR="009C64F6" w:rsidRDefault="009C64F6" w14:paraId="585CCF71" w14:textId="77777777">
    <w:pPr>
      <w:spacing w:line="276" w:lineRule="auto"/>
      <w:rPr>
        <w:rFonts w:ascii="Roboto" w:hAnsi="Roboto" w:eastAsia="Roboto" w:cs="Roboto"/>
        <w:b/>
        <w:bCs/>
        <w:sz w:val="40"/>
        <w:szCs w:val="40"/>
      </w:rPr>
    </w:pPr>
  </w:p>
  <w:p w:rsidR="009C64F6" w:rsidRDefault="009C64F6" w14:paraId="585CCF72" w14:textId="77777777">
    <w:pPr>
      <w:spacing w:line="276" w:lineRule="auto"/>
    </w:pPr>
  </w:p>
  <w:p w:rsidR="009C64F6" w:rsidRDefault="009C64F6" w14:paraId="585CCF73" w14:textId="77777777">
    <w:pPr>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64F6" w:rsidRDefault="009C64F6" w14:paraId="585CCF77" w14:textId="77777777">
    <w:pPr>
      <w:pBdr>
        <w:top w:val="nil"/>
        <w:left w:val="nil"/>
        <w:bottom w:val="nil"/>
        <w:right w:val="nil"/>
        <w:between w:val="nil"/>
      </w:pBdr>
      <w:tabs>
        <w:tab w:val="center" w:pos="4252"/>
        <w:tab w:val="right" w:pos="8504"/>
      </w:tabs>
      <w:rPr>
        <w:color w:val="000000"/>
      </w:rPr>
    </w:pPr>
  </w:p>
</w:hdr>
</file>

<file path=word/intelligence2.xml><?xml version="1.0" encoding="utf-8"?>
<int2:intelligence xmlns:int2="http://schemas.microsoft.com/office/intelligence/2020/intelligence">
  <int2:observations>
    <int2:bookmark int2:bookmarkName="_Int_rCvHu29n" int2:invalidationBookmarkName="" int2:hashCode="79RaHMZxGPVhTx" int2:id="Hfzd58k7">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88576D"/>
    <w:multiLevelType w:val="multilevel"/>
    <w:tmpl w:val="80769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04782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ledad Pacheco Alonso">
    <w15:presenceInfo w15:providerId="AD" w15:userId="S::spacheco@enac.es::2120db64-7e97-4af5-a157-f2ef82e6652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5"/>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F6"/>
    <w:rsid w:val="006B781B"/>
    <w:rsid w:val="00957D1B"/>
    <w:rsid w:val="009C64F6"/>
    <w:rsid w:val="00AA3290"/>
    <w:rsid w:val="00C504DD"/>
    <w:rsid w:val="00D23F87"/>
    <w:rsid w:val="00D73553"/>
    <w:rsid w:val="0AA3D37C"/>
    <w:rsid w:val="1C75265B"/>
    <w:rsid w:val="2C19D7B0"/>
    <w:rsid w:val="4E2B324E"/>
    <w:rsid w:val="5F5C9D61"/>
    <w:rsid w:val="607593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CCF4A"/>
  <w15:docId w15:val="{ED42AF36-9727-4D31-94E5-999883CB5F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Normal1"/>
    <w:tblPr>
      <w:tblCellMar>
        <w:top w:w="100" w:type="dxa"/>
        <w:left w:w="100" w:type="dxa"/>
        <w:bottom w:w="100" w:type="dxa"/>
        <w:right w:w="100" w:type="dxa"/>
      </w:tblCellMar>
    </w:tblPr>
  </w:style>
  <w:style w:type="table" w:styleId="TableNormal2" w:customStyle="1">
    <w:name w:val="TableNormal2"/>
    <w:tblPr>
      <w:tblCellMar>
        <w:top w:w="100" w:type="dxa"/>
        <w:left w:w="100" w:type="dxa"/>
        <w:bottom w:w="100" w:type="dxa"/>
        <w:right w:w="100" w:type="dxa"/>
      </w:tblCellMar>
    </w:tblPr>
  </w:style>
  <w:style w:type="table" w:styleId="TableNormal3" w:customStyle="1">
    <w:name w:val="TableNormal3"/>
    <w:tblPr>
      <w:tblCellMar>
        <w:top w:w="100" w:type="dxa"/>
        <w:left w:w="100" w:type="dxa"/>
        <w:bottom w:w="100" w:type="dxa"/>
        <w:right w:w="100" w:type="dxa"/>
      </w:tblCellMar>
    </w:tblPr>
  </w:style>
  <w:style w:type="table" w:styleId="TableNormal4" w:customStyle="1">
    <w:name w:val="TableNormal4"/>
    <w:tblPr>
      <w:tblCellMar>
        <w:top w:w="100" w:type="dxa"/>
        <w:left w:w="100" w:type="dxa"/>
        <w:bottom w:w="100" w:type="dxa"/>
        <w:right w:w="100" w:type="dxa"/>
      </w:tblCellMar>
    </w:tblPr>
  </w:style>
  <w:style w:type="table" w:styleId="TableNormal5" w:customStyle="1">
    <w:name w:val="TableNormal5"/>
    <w:tblPr>
      <w:tblCellMar>
        <w:top w:w="100" w:type="dxa"/>
        <w:left w:w="100" w:type="dxa"/>
        <w:bottom w:w="100" w:type="dxa"/>
        <w:right w:w="100" w:type="dxa"/>
      </w:tblCellMar>
    </w:tblPr>
  </w:style>
  <w:style w:type="table" w:styleId="TableNormal40" w:customStyle="1">
    <w:name w:val="Table Normal4"/>
    <w:rsid w:val="006F08E0"/>
    <w:tblPr>
      <w:tblCellMar>
        <w:top w:w="0" w:type="dxa"/>
        <w:left w:w="0" w:type="dxa"/>
        <w:bottom w:w="0" w:type="dxa"/>
        <w:right w:w="0" w:type="dxa"/>
      </w:tblCellMar>
    </w:tblPr>
  </w:style>
  <w:style w:type="table" w:styleId="TableNormal30" w:customStyle="1">
    <w:name w:val="Table Normal3"/>
    <w:rsid w:val="009755B3"/>
    <w:tblPr>
      <w:tblCellMar>
        <w:top w:w="0" w:type="dxa"/>
        <w:left w:w="0" w:type="dxa"/>
        <w:bottom w:w="0" w:type="dxa"/>
        <w:right w:w="0" w:type="dxa"/>
      </w:tblCellMar>
    </w:tblPr>
  </w:style>
  <w:style w:type="table" w:styleId="TableNormal20" w:customStyle="1">
    <w:name w:val="Table Normal2"/>
    <w:rsid w:val="00A46C3D"/>
    <w:tblPr>
      <w:tblCellMar>
        <w:top w:w="0" w:type="dxa"/>
        <w:left w:w="0" w:type="dxa"/>
        <w:bottom w:w="0" w:type="dxa"/>
        <w:right w:w="0" w:type="dxa"/>
      </w:tblCellMar>
    </w:tblPr>
  </w:style>
  <w:style w:type="table" w:styleId="NormalTable0" w:customStyle="1">
    <w:name w:val="Normal Table0"/>
    <w:tblPr>
      <w:tblCellMar>
        <w:top w:w="0" w:type="dxa"/>
        <w:left w:w="0" w:type="dxa"/>
        <w:bottom w:w="0" w:type="dxa"/>
        <w:right w:w="0" w:type="dxa"/>
      </w:tblCellMar>
    </w:tblPr>
  </w:style>
  <w:style w:type="paragraph" w:styleId="Revisin">
    <w:name w:val="Revision"/>
    <w:hidden/>
    <w:uiPriority w:val="99"/>
    <w:semiHidden/>
    <w:rsid w:val="007858B3"/>
  </w:style>
  <w:style w:type="character" w:styleId="Hipervnculo">
    <w:uiPriority w:val="99"/>
    <w:name w:val="Hyperlink"/>
    <w:basedOn w:val="DefaultParagraphFont"/>
    <w:unhideWhenUsed/>
    <w:rsid w:val="2C19D7B0"/>
    <w:rPr>
      <w:color w:val="0000FF"/>
      <w:u w:val="single"/>
    </w:rPr>
  </w:style>
  <w:style w:type="paragraph" w:styleId="Encabezado">
    <w:name w:val="header"/>
    <w:basedOn w:val="Normal"/>
    <w:link w:val="EncabezadoCar"/>
    <w:uiPriority w:val="99"/>
    <w:semiHidden/>
    <w:unhideWhenUsed/>
    <w:rsid w:val="00C215DA"/>
    <w:pPr>
      <w:tabs>
        <w:tab w:val="center" w:pos="4252"/>
        <w:tab w:val="right" w:pos="8504"/>
      </w:tabs>
    </w:pPr>
  </w:style>
  <w:style w:type="character" w:styleId="EncabezadoCar" w:customStyle="true">
    <w:uiPriority w:val="99"/>
    <w:name w:val="Encabezado Car"/>
    <w:basedOn w:val="DefaultParagraphFont"/>
    <w:semiHidden/>
    <w:link w:val="Encabezado"/>
    <w:rsid w:val="2C19D7B0"/>
  </w:style>
  <w:style w:type="paragraph" w:styleId="Piedepgina">
    <w:name w:val="footer"/>
    <w:basedOn w:val="Normal"/>
    <w:link w:val="PiedepginaCar"/>
    <w:uiPriority w:val="99"/>
    <w:semiHidden/>
    <w:unhideWhenUsed/>
    <w:rsid w:val="00C215DA"/>
    <w:pPr>
      <w:tabs>
        <w:tab w:val="center" w:pos="4252"/>
        <w:tab w:val="right" w:pos="8504"/>
      </w:tabs>
    </w:pPr>
  </w:style>
  <w:style w:type="character" w:styleId="PiedepginaCar" w:customStyle="true">
    <w:uiPriority w:val="99"/>
    <w:name w:val="Pie de página Car"/>
    <w:basedOn w:val="DefaultParagraphFont"/>
    <w:semiHidden/>
    <w:link w:val="Piedepgina"/>
    <w:rsid w:val="2C19D7B0"/>
  </w:style>
  <w:style w:type="character" w:styleId="Hipervnculovisitado">
    <w:uiPriority w:val="99"/>
    <w:name w:val="FollowedHyperlink"/>
    <w:basedOn w:val="DefaultParagraphFont"/>
    <w:semiHidden/>
    <w:unhideWhenUsed/>
    <w:rsid w:val="2C19D7B0"/>
    <w:rPr>
      <w:color w:val="800080"/>
      <w:u w:val="single"/>
    </w:rPr>
  </w:style>
  <w:style w:type="character" w:styleId="Fuerte">
    <w:uiPriority w:val="22"/>
    <w:name w:val="Strong"/>
    <w:basedOn w:val="DefaultParagraphFont"/>
    <w:qFormat/>
    <w:rsid w:val="2C19D7B0"/>
    <w:rPr>
      <w:b w:val="1"/>
      <w:bCs w:val="1"/>
    </w:rPr>
  </w:style>
  <w:style w:type="character" w:styleId="Refdecomentario">
    <w:uiPriority w:val="99"/>
    <w:name w:val="annotation reference"/>
    <w:basedOn w:val="DefaultParagraphFont"/>
    <w:semiHidden/>
    <w:unhideWhenUsed/>
    <w:rsid w:val="2C19D7B0"/>
    <w:rPr>
      <w:sz w:val="16"/>
      <w:szCs w:val="16"/>
    </w:rPr>
  </w:style>
  <w:style w:type="paragraph" w:styleId="Textocomentario">
    <w:name w:val="annotation text"/>
    <w:basedOn w:val="Normal"/>
    <w:link w:val="TextocomentarioCar"/>
    <w:uiPriority w:val="99"/>
    <w:unhideWhenUsed/>
    <w:rsid w:val="003A12A1"/>
    <w:rPr>
      <w:sz w:val="20"/>
      <w:szCs w:val="20"/>
    </w:rPr>
  </w:style>
  <w:style w:type="character" w:styleId="TextocomentarioCar" w:customStyle="true">
    <w:uiPriority w:val="99"/>
    <w:name w:val="Texto comentario Car"/>
    <w:basedOn w:val="DefaultParagraphFont"/>
    <w:link w:val="Textocomentario"/>
    <w:rsid w:val="2C19D7B0"/>
    <w:rPr>
      <w:sz w:val="20"/>
      <w:szCs w:val="20"/>
    </w:rPr>
  </w:style>
  <w:style w:type="paragraph" w:styleId="Asuntodelcomentario">
    <w:name w:val="annotation subject"/>
    <w:basedOn w:val="Textocomentario"/>
    <w:next w:val="Textocomentario"/>
    <w:link w:val="AsuntodelcomentarioCar"/>
    <w:uiPriority w:val="99"/>
    <w:semiHidden/>
    <w:unhideWhenUsed/>
    <w:rsid w:val="003A12A1"/>
    <w:rPr>
      <w:b/>
      <w:bCs/>
    </w:rPr>
  </w:style>
  <w:style w:type="character" w:styleId="AsuntodelcomentarioCar" w:customStyle="1">
    <w:name w:val="Asunto del comentario Car"/>
    <w:basedOn w:val="TextocomentarioCar"/>
    <w:link w:val="Asuntodelcomentario"/>
    <w:uiPriority w:val="99"/>
    <w:semiHidden/>
    <w:rsid w:val="003A12A1"/>
    <w:rPr>
      <w:b/>
      <w:bCs/>
      <w:sz w:val="20"/>
      <w:szCs w:val="20"/>
    </w:rPr>
  </w:style>
  <w:style w:type="table" w:styleId="TableNormal10" w:customStyle="1">
    <w:name w:val="Table Normal1"/>
    <w:rsid w:val="00FB6A16"/>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Mencinsinresolver">
    <w:uiPriority w:val="99"/>
    <w:name w:val="Unresolved Mention"/>
    <w:basedOn w:val="DefaultParagraphFont"/>
    <w:semiHidden/>
    <w:unhideWhenUsed/>
    <w:rsid w:val="2C19D7B0"/>
    <w:rPr>
      <w:color w:val="605E5C"/>
    </w:rPr>
  </w:style>
  <w:style w:type="character" w:styleId="PlaceholderText">
    <w:uiPriority w:val="99"/>
    <w:name w:val="Placeholder Text"/>
    <w:basedOn w:val="DefaultParagraphFont"/>
    <w:semiHidden/>
    <w:rsid w:val="2C19D7B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image" Target="media/image1.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www.enac.es" TargetMode="External"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header" Target="header3.xml" Id="rId24" /><Relationship Type="http://schemas.openxmlformats.org/officeDocument/2006/relationships/numbering" Target="numbering.xml" Id="rId5" /><Relationship Type="http://schemas.openxmlformats.org/officeDocument/2006/relationships/footer" Target="footer2.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mailto:evamc@varenga.e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openxmlformats.org/officeDocument/2006/relationships/footer" Target="footer1.xml" Id="rId22" /><Relationship Type="http://schemas.microsoft.com/office/2011/relationships/people" Target="people.xml" Id="rId27" /><Relationship Type="http://schemas.openxmlformats.org/officeDocument/2006/relationships/hyperlink" Target="https://www.enac.es/" TargetMode="External" Id="R980575f29c3c48fb" /><Relationship Type="http://schemas.openxmlformats.org/officeDocument/2006/relationships/hyperlink" Target="https://www.enac.es/documents/7020/de22a7b8-9b7f-473d-ae07-82b2a7c8dc73" TargetMode="External" Id="Re2febbde1c5945f7" /><Relationship Type="http://schemas.microsoft.com/office/2020/10/relationships/intelligence" Target="intelligence2.xml" Id="Ra77e84f7af0647f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35b7714a55062d14d892f3522112704a">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92a12215dc0792136b523b9589aa527d"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oZcIM3jqdlKn03Uj8ao0b94WLQ==">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</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6CB224-B443-460B-A7F4-41544BFA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FD8FB4-ED5A-462B-ADDA-32E3AA7BE24E}">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BE0FE78-56BE-4D75-B18A-153854CF577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Irene Gonzalez Fernandez</dc:creator>
  <lastModifiedBy>Eva Martín</lastModifiedBy>
  <revision>6</revision>
  <dcterms:created xsi:type="dcterms:W3CDTF">2023-05-04T17:41:00.0000000Z</dcterms:created>
  <dcterms:modified xsi:type="dcterms:W3CDTF">2026-03-23T10:31:55.8061926Z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