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9E460" w14:textId="77777777" w:rsidR="00A00B80" w:rsidRDefault="008A5C81">
      <w:pPr>
        <w:spacing w:line="276" w:lineRule="auto"/>
        <w:jc w:val="center"/>
        <w:rPr>
          <w:rFonts w:ascii="Roboto" w:eastAsia="Roboto" w:hAnsi="Roboto" w:cs="Roboto"/>
          <w:sz w:val="22"/>
          <w:szCs w:val="22"/>
        </w:rPr>
      </w:pPr>
      <w:r>
        <w:rPr>
          <w:rFonts w:ascii="Roboto" w:eastAsia="Roboto" w:hAnsi="Roboto" w:cs="Roboto"/>
          <w:b/>
          <w:bCs/>
          <w:sz w:val="40"/>
          <w:szCs w:val="40"/>
        </w:rPr>
        <w:t>NOTA DE PRENSA</w:t>
      </w:r>
      <w:r>
        <w:rPr>
          <w:rFonts w:ascii="Roboto" w:eastAsia="Roboto" w:hAnsi="Roboto" w:cs="Roboto"/>
          <w:sz w:val="22"/>
          <w:szCs w:val="22"/>
        </w:rPr>
        <w:t xml:space="preserve"> </w:t>
      </w:r>
    </w:p>
    <w:p w14:paraId="10E9E461" w14:textId="77777777" w:rsidR="00A00B80" w:rsidRDefault="00A00B80">
      <w:pPr>
        <w:jc w:val="center"/>
        <w:rPr>
          <w:rFonts w:ascii="Roboto" w:eastAsia="Roboto" w:hAnsi="Roboto" w:cs="Roboto"/>
          <w:b/>
          <w:bCs/>
          <w:sz w:val="32"/>
          <w:szCs w:val="32"/>
        </w:rPr>
      </w:pPr>
    </w:p>
    <w:p w14:paraId="10E9E462" w14:textId="77777777" w:rsidR="00A00B80" w:rsidRDefault="008A5C81">
      <w:pPr>
        <w:jc w:val="center"/>
        <w:rPr>
          <w:rFonts w:ascii="Roboto" w:eastAsia="Roboto" w:hAnsi="Roboto" w:cs="Roboto"/>
          <w:sz w:val="36"/>
          <w:szCs w:val="36"/>
        </w:rPr>
      </w:pPr>
      <w:r>
        <w:rPr>
          <w:rFonts w:ascii="Roboto" w:eastAsia="Roboto" w:hAnsi="Roboto" w:cs="Roboto"/>
          <w:b/>
          <w:bCs/>
          <w:sz w:val="36"/>
          <w:szCs w:val="36"/>
        </w:rPr>
        <w:t>El poder de la acreditación para generar confianza e impulsar la innovación y la sostenibilidad marcan el Día Mundial 2026</w:t>
      </w:r>
    </w:p>
    <w:p w14:paraId="10E9E463" w14:textId="77777777" w:rsidR="00A00B80" w:rsidRDefault="008A5C81">
      <w:pPr>
        <w:jc w:val="center"/>
        <w:rPr>
          <w:rFonts w:ascii="Roboto" w:eastAsia="Roboto" w:hAnsi="Roboto" w:cs="Roboto"/>
          <w:b/>
          <w:bCs/>
          <w:sz w:val="20"/>
          <w:szCs w:val="20"/>
        </w:rPr>
      </w:pPr>
      <w:r>
        <w:rPr>
          <w:rFonts w:ascii="Roboto" w:eastAsia="Roboto" w:hAnsi="Roboto" w:cs="Roboto"/>
          <w:b/>
          <w:bCs/>
          <w:sz w:val="20"/>
          <w:szCs w:val="20"/>
        </w:rPr>
        <w:t xml:space="preserve">  </w:t>
      </w:r>
    </w:p>
    <w:p w14:paraId="10E9E464" w14:textId="77777777" w:rsidR="00A00B80" w:rsidRPr="00F001CB" w:rsidRDefault="008A5C81">
      <w:pPr>
        <w:numPr>
          <w:ilvl w:val="0"/>
          <w:numId w:val="2"/>
        </w:numPr>
        <w:jc w:val="both"/>
        <w:rPr>
          <w:rFonts w:ascii="Roboto" w:eastAsia="Roboto" w:hAnsi="Roboto" w:cs="Roboto"/>
          <w:b/>
          <w:bCs/>
          <w:sz w:val="20"/>
          <w:szCs w:val="20"/>
        </w:rPr>
      </w:pPr>
      <w:r>
        <w:rPr>
          <w:rFonts w:ascii="Roboto" w:eastAsia="Roboto" w:hAnsi="Roboto" w:cs="Roboto"/>
          <w:b/>
          <w:bCs/>
          <w:sz w:val="20"/>
          <w:szCs w:val="20"/>
        </w:rPr>
        <w:t>La</w:t>
      </w:r>
      <w:r>
        <w:rPr>
          <w:rFonts w:ascii="Roboto" w:eastAsia="Roboto" w:hAnsi="Roboto" w:cs="Roboto"/>
          <w:b/>
          <w:bCs/>
          <w:sz w:val="20"/>
          <w:szCs w:val="20"/>
        </w:rPr>
        <w:t xml:space="preserve"> </w:t>
      </w:r>
      <w:r w:rsidRPr="00F001CB">
        <w:rPr>
          <w:rFonts w:ascii="Roboto" w:eastAsia="Roboto" w:hAnsi="Roboto" w:cs="Roboto"/>
          <w:b/>
          <w:bCs/>
          <w:sz w:val="20"/>
          <w:szCs w:val="20"/>
        </w:rPr>
        <w:t xml:space="preserve">jornada </w:t>
      </w:r>
      <w:r w:rsidRPr="00F001CB">
        <w:rPr>
          <w:rFonts w:ascii="Roboto" w:eastAsia="Roboto" w:hAnsi="Roboto" w:cs="Roboto"/>
          <w:b/>
          <w:bCs/>
          <w:sz w:val="20"/>
          <w:szCs w:val="20"/>
        </w:rPr>
        <w:t>consolida</w:t>
      </w:r>
      <w:r w:rsidRPr="00F001CB">
        <w:rPr>
          <w:rFonts w:ascii="Roboto" w:eastAsia="Roboto" w:hAnsi="Roboto" w:cs="Roboto"/>
          <w:b/>
          <w:bCs/>
          <w:sz w:val="20"/>
          <w:szCs w:val="20"/>
        </w:rPr>
        <w:t xml:space="preserve"> un nuevo marco internacional con la puesta en marcha de Global ACI, la nueva organización que unifica bajo una única estructura la actividad mundial de acreditación</w:t>
      </w:r>
    </w:p>
    <w:p w14:paraId="10E9E465" w14:textId="77777777" w:rsidR="005242F2" w:rsidRDefault="005242F2">
      <w:pPr>
        <w:ind w:left="720"/>
        <w:jc w:val="both"/>
        <w:rPr>
          <w:rFonts w:ascii="Roboto" w:eastAsia="Roboto" w:hAnsi="Roboto" w:cs="Roboto"/>
          <w:b/>
          <w:bCs/>
          <w:sz w:val="20"/>
          <w:szCs w:val="20"/>
        </w:rPr>
      </w:pPr>
    </w:p>
    <w:p w14:paraId="10E9E466" w14:textId="37E0D4EA" w:rsidR="005242F2" w:rsidRDefault="008A5C81">
      <w:pPr>
        <w:numPr>
          <w:ilvl w:val="0"/>
          <w:numId w:val="2"/>
        </w:numPr>
        <w:jc w:val="both"/>
        <w:rPr>
          <w:rFonts w:ascii="Roboto" w:eastAsia="Roboto" w:hAnsi="Roboto" w:cs="Roboto"/>
          <w:b/>
          <w:bCs/>
          <w:sz w:val="20"/>
          <w:szCs w:val="20"/>
        </w:rPr>
      </w:pPr>
      <w:r>
        <w:rPr>
          <w:rFonts w:ascii="Roboto" w:eastAsia="Roboto" w:hAnsi="Roboto" w:cs="Roboto"/>
          <w:b/>
          <w:bCs/>
          <w:sz w:val="20"/>
          <w:szCs w:val="20"/>
        </w:rPr>
        <w:t xml:space="preserve">En un entorno en constante transformación, la </w:t>
      </w:r>
      <w:r w:rsidRPr="00F001CB">
        <w:rPr>
          <w:rFonts w:ascii="Roboto" w:eastAsia="Roboto" w:hAnsi="Roboto" w:cs="Roboto"/>
          <w:b/>
          <w:bCs/>
          <w:sz w:val="20"/>
          <w:szCs w:val="20"/>
        </w:rPr>
        <w:t xml:space="preserve">acreditación </w:t>
      </w:r>
      <w:r w:rsidR="00FD6992" w:rsidRPr="00F001CB">
        <w:rPr>
          <w:rFonts w:ascii="Roboto" w:eastAsia="Roboto" w:hAnsi="Roboto" w:cs="Roboto"/>
          <w:b/>
          <w:bCs/>
          <w:sz w:val="20"/>
          <w:szCs w:val="20"/>
        </w:rPr>
        <w:t xml:space="preserve">refuerza su papel </w:t>
      </w:r>
      <w:r w:rsidRPr="00F001CB">
        <w:rPr>
          <w:rFonts w:ascii="Roboto" w:eastAsia="Roboto" w:hAnsi="Roboto" w:cs="Roboto"/>
          <w:b/>
          <w:bCs/>
          <w:sz w:val="20"/>
          <w:szCs w:val="20"/>
        </w:rPr>
        <w:t xml:space="preserve">como </w:t>
      </w:r>
      <w:r w:rsidRPr="00F001CB">
        <w:rPr>
          <w:rFonts w:ascii="Roboto" w:eastAsia="Roboto" w:hAnsi="Roboto" w:cs="Roboto"/>
          <w:b/>
          <w:bCs/>
          <w:sz w:val="20"/>
          <w:szCs w:val="20"/>
        </w:rPr>
        <w:t>el</w:t>
      </w:r>
      <w:r>
        <w:rPr>
          <w:rFonts w:ascii="Roboto" w:eastAsia="Roboto" w:hAnsi="Roboto" w:cs="Roboto"/>
          <w:b/>
          <w:bCs/>
          <w:sz w:val="20"/>
          <w:szCs w:val="20"/>
        </w:rPr>
        <w:t xml:space="preserve"> </w:t>
      </w:r>
      <w:r>
        <w:rPr>
          <w:rFonts w:ascii="Roboto" w:eastAsia="Roboto" w:hAnsi="Roboto" w:cs="Roboto"/>
          <w:b/>
          <w:bCs/>
          <w:sz w:val="20"/>
          <w:szCs w:val="20"/>
        </w:rPr>
        <w:t>mecanismo independiente clave para generar confianza en los mercados, favorecer las mejores prácticas en innovación y dar respuesta a las exigencias de sostenibilidad</w:t>
      </w:r>
    </w:p>
    <w:p w14:paraId="10E9E467" w14:textId="77777777" w:rsidR="005242F2" w:rsidRDefault="005242F2">
      <w:pPr>
        <w:ind w:left="720"/>
        <w:jc w:val="both"/>
        <w:rPr>
          <w:rFonts w:ascii="Roboto" w:eastAsia="Roboto" w:hAnsi="Roboto" w:cs="Roboto"/>
          <w:b/>
          <w:bCs/>
          <w:sz w:val="20"/>
          <w:szCs w:val="20"/>
        </w:rPr>
      </w:pPr>
    </w:p>
    <w:p w14:paraId="10E9E468" w14:textId="77777777" w:rsidR="00A00B80" w:rsidRDefault="00A00B80">
      <w:pPr>
        <w:jc w:val="both"/>
        <w:rPr>
          <w:rFonts w:ascii="Roboto" w:eastAsia="Roboto" w:hAnsi="Roboto" w:cs="Roboto"/>
          <w:sz w:val="22"/>
          <w:szCs w:val="22"/>
        </w:rPr>
      </w:pPr>
    </w:p>
    <w:p w14:paraId="10E9E469" w14:textId="77777777" w:rsidR="00A00B80" w:rsidRDefault="008A5C81">
      <w:pPr>
        <w:jc w:val="both"/>
        <w:rPr>
          <w:rFonts w:ascii="Roboto" w:eastAsia="Roboto" w:hAnsi="Roboto" w:cs="Roboto"/>
          <w:sz w:val="22"/>
          <w:szCs w:val="22"/>
        </w:rPr>
      </w:pPr>
      <w:r>
        <w:rPr>
          <w:rFonts w:ascii="Roboto" w:eastAsia="Roboto" w:hAnsi="Roboto" w:cs="Roboto"/>
          <w:sz w:val="22"/>
          <w:szCs w:val="22"/>
        </w:rPr>
        <w:t xml:space="preserve">Madrid, 09 de junio de 2026. Este martes 9 de junio se celebra el </w:t>
      </w:r>
      <w:r>
        <w:rPr>
          <w:rFonts w:ascii="Roboto" w:eastAsia="Roboto" w:hAnsi="Roboto" w:cs="Roboto"/>
          <w:b/>
          <w:bCs/>
          <w:sz w:val="22"/>
          <w:szCs w:val="22"/>
        </w:rPr>
        <w:t xml:space="preserve">Día Mundial de la Acreditación (World </w:t>
      </w:r>
      <w:proofErr w:type="spellStart"/>
      <w:r>
        <w:rPr>
          <w:rFonts w:ascii="Roboto" w:eastAsia="Roboto" w:hAnsi="Roboto" w:cs="Roboto"/>
          <w:b/>
          <w:bCs/>
          <w:sz w:val="22"/>
          <w:szCs w:val="22"/>
        </w:rPr>
        <w:t>Accreditation</w:t>
      </w:r>
      <w:proofErr w:type="spellEnd"/>
      <w:r>
        <w:rPr>
          <w:rFonts w:ascii="Roboto" w:eastAsia="Roboto" w:hAnsi="Roboto" w:cs="Roboto"/>
          <w:b/>
          <w:bCs/>
          <w:sz w:val="22"/>
          <w:szCs w:val="22"/>
        </w:rPr>
        <w:t xml:space="preserve"> Day, WAD 2026),</w:t>
      </w:r>
      <w:r>
        <w:rPr>
          <w:rFonts w:ascii="Roboto" w:eastAsia="Roboto" w:hAnsi="Roboto" w:cs="Roboto"/>
          <w:sz w:val="22"/>
          <w:szCs w:val="22"/>
        </w:rPr>
        <w:t xml:space="preserve"> una iniciativa promovida a nivel internacional para destacar el papel de la acreditación como herramienta generadora de confianza en los mercados y la sociedad.  Bajo el lema «</w:t>
      </w:r>
      <w:r>
        <w:rPr>
          <w:rFonts w:ascii="Roboto" w:eastAsia="Roboto" w:hAnsi="Roboto" w:cs="Roboto"/>
          <w:i/>
          <w:iCs/>
          <w:sz w:val="22"/>
          <w:szCs w:val="22"/>
        </w:rPr>
        <w:t>Innovación, confianza y sostenibilidad: el poder de la acreditación</w:t>
      </w:r>
      <w:r>
        <w:rPr>
          <w:rFonts w:ascii="Roboto" w:eastAsia="Roboto" w:hAnsi="Roboto" w:cs="Roboto"/>
          <w:sz w:val="22"/>
          <w:szCs w:val="22"/>
        </w:rPr>
        <w:t>», la edición de 2026 pone el foco en el valor de la acreditación para dar respuesta a los retos de un entorno en constante transformación.</w:t>
      </w:r>
    </w:p>
    <w:p w14:paraId="10E9E46A" w14:textId="77777777" w:rsidR="00A00B80" w:rsidRDefault="00A00B80">
      <w:pPr>
        <w:jc w:val="both"/>
        <w:rPr>
          <w:rFonts w:ascii="Roboto" w:eastAsia="Roboto" w:hAnsi="Roboto" w:cs="Roboto"/>
          <w:sz w:val="22"/>
          <w:szCs w:val="22"/>
        </w:rPr>
      </w:pPr>
    </w:p>
    <w:p w14:paraId="10E9E46B" w14:textId="77777777" w:rsidR="00A00B80" w:rsidRDefault="008A5C81">
      <w:pPr>
        <w:spacing w:after="160" w:line="259" w:lineRule="auto"/>
        <w:jc w:val="both"/>
        <w:rPr>
          <w:rFonts w:ascii="Roboto" w:eastAsia="Roboto" w:hAnsi="Roboto" w:cs="Roboto"/>
          <w:sz w:val="22"/>
          <w:szCs w:val="22"/>
        </w:rPr>
      </w:pPr>
      <w:r>
        <w:rPr>
          <w:rFonts w:ascii="Roboto" w:eastAsia="Roboto" w:hAnsi="Roboto" w:cs="Roboto"/>
          <w:sz w:val="22"/>
          <w:szCs w:val="22"/>
        </w:rPr>
        <w:t xml:space="preserve">Esta edición tiene además un significado especial para España, ya que en 2026 </w:t>
      </w:r>
      <w:r>
        <w:rPr>
          <w:rFonts w:ascii="Roboto" w:eastAsia="Roboto" w:hAnsi="Roboto" w:cs="Roboto"/>
          <w:b/>
          <w:bCs/>
          <w:sz w:val="22"/>
          <w:szCs w:val="22"/>
        </w:rPr>
        <w:t xml:space="preserve">se cumplen 40 años del inicio de la acreditación en nuestro país, </w:t>
      </w:r>
      <w:r>
        <w:rPr>
          <w:rFonts w:ascii="Roboto" w:eastAsia="Roboto" w:hAnsi="Roboto" w:cs="Roboto"/>
          <w:b/>
          <w:bCs/>
          <w:sz w:val="22"/>
          <w:szCs w:val="22"/>
        </w:rPr>
        <w:t xml:space="preserve">una actividad desarrollada por la </w:t>
      </w:r>
      <w:hyperlink r:id="rId11">
        <w:r>
          <w:rPr>
            <w:rFonts w:ascii="Roboto" w:eastAsia="Roboto" w:hAnsi="Roboto" w:cs="Roboto"/>
            <w:b/>
            <w:bCs/>
            <w:color w:val="1155CC"/>
            <w:sz w:val="22"/>
            <w:szCs w:val="22"/>
            <w:u w:val="single"/>
          </w:rPr>
          <w:t>Entidad Nacional de Acreditación</w:t>
        </w:r>
      </w:hyperlink>
      <w:r>
        <w:rPr>
          <w:rFonts w:ascii="Roboto" w:eastAsia="Roboto" w:hAnsi="Roboto" w:cs="Roboto"/>
          <w:b/>
          <w:sz w:val="22"/>
          <w:szCs w:val="22"/>
        </w:rPr>
        <w:t xml:space="preserve"> (ENAC</w:t>
      </w:r>
      <w:r>
        <w:rPr>
          <w:rFonts w:ascii="Roboto" w:eastAsia="Roboto" w:hAnsi="Roboto" w:cs="Roboto"/>
          <w:b/>
          <w:bCs/>
          <w:sz w:val="22"/>
          <w:szCs w:val="22"/>
        </w:rPr>
        <w:t>)</w:t>
      </w:r>
      <w:r>
        <w:rPr>
          <w:rFonts w:ascii="Roboto" w:eastAsia="Roboto" w:hAnsi="Roboto" w:cs="Roboto"/>
          <w:sz w:val="22"/>
          <w:szCs w:val="22"/>
        </w:rPr>
        <w:t>.</w:t>
      </w:r>
      <w:r>
        <w:rPr>
          <w:rFonts w:ascii="Roboto" w:eastAsia="Roboto" w:hAnsi="Roboto" w:cs="Roboto"/>
          <w:sz w:val="22"/>
          <w:szCs w:val="22"/>
        </w:rPr>
        <w:t xml:space="preserve">  Son cuatro décadas en las que la acreditación ha contribuido al desarrollo de mercados más seguros, competitivos y fiables. </w:t>
      </w:r>
    </w:p>
    <w:p w14:paraId="10E9E46C" w14:textId="77777777" w:rsidR="00A00B80" w:rsidRDefault="008A5C81">
      <w:pPr>
        <w:spacing w:after="160" w:line="259" w:lineRule="auto"/>
        <w:jc w:val="both"/>
        <w:rPr>
          <w:rFonts w:ascii="Roboto" w:eastAsia="Roboto" w:hAnsi="Roboto" w:cs="Roboto"/>
          <w:b/>
          <w:bCs/>
          <w:sz w:val="22"/>
          <w:szCs w:val="22"/>
          <w:u w:val="single"/>
        </w:rPr>
      </w:pPr>
      <w:r>
        <w:rPr>
          <w:rFonts w:ascii="Roboto" w:eastAsia="Roboto" w:hAnsi="Roboto" w:cs="Roboto"/>
          <w:b/>
          <w:bCs/>
          <w:sz w:val="22"/>
          <w:szCs w:val="22"/>
          <w:u w:val="single"/>
        </w:rPr>
        <w:t>El poder de la acreditación</w:t>
      </w:r>
    </w:p>
    <w:p w14:paraId="10E9E46D" w14:textId="77777777" w:rsidR="00A00B80" w:rsidRDefault="008A5C81">
      <w:pPr>
        <w:spacing w:after="160" w:line="259" w:lineRule="auto"/>
        <w:jc w:val="both"/>
        <w:rPr>
          <w:rFonts w:ascii="Roboto" w:eastAsia="Roboto" w:hAnsi="Roboto" w:cs="Roboto"/>
          <w:sz w:val="22"/>
          <w:szCs w:val="22"/>
        </w:rPr>
      </w:pPr>
      <w:r>
        <w:rPr>
          <w:rFonts w:ascii="Roboto" w:eastAsia="Roboto" w:hAnsi="Roboto" w:cs="Roboto"/>
          <w:sz w:val="22"/>
          <w:szCs w:val="22"/>
        </w:rPr>
        <w:t xml:space="preserve">La organización internacional de acreditadores Global </w:t>
      </w:r>
      <w:proofErr w:type="spellStart"/>
      <w:r>
        <w:rPr>
          <w:rFonts w:ascii="Roboto" w:eastAsia="Roboto" w:hAnsi="Roboto" w:cs="Roboto"/>
          <w:sz w:val="22"/>
          <w:szCs w:val="22"/>
        </w:rPr>
        <w:t>Accreditation</w:t>
      </w:r>
      <w:proofErr w:type="spellEnd"/>
      <w:r>
        <w:rPr>
          <w:rFonts w:ascii="Roboto" w:eastAsia="Roboto" w:hAnsi="Roboto" w:cs="Roboto"/>
          <w:sz w:val="22"/>
          <w:szCs w:val="22"/>
        </w:rPr>
        <w:t xml:space="preserve"> </w:t>
      </w:r>
      <w:proofErr w:type="spellStart"/>
      <w:r>
        <w:rPr>
          <w:rFonts w:ascii="Roboto" w:eastAsia="Roboto" w:hAnsi="Roboto" w:cs="Roboto"/>
          <w:sz w:val="22"/>
          <w:szCs w:val="22"/>
        </w:rPr>
        <w:t>Cooperation</w:t>
      </w:r>
      <w:proofErr w:type="spellEnd"/>
      <w:r>
        <w:rPr>
          <w:rFonts w:ascii="Roboto" w:eastAsia="Roboto" w:hAnsi="Roboto" w:cs="Roboto"/>
          <w:sz w:val="22"/>
          <w:szCs w:val="22"/>
        </w:rPr>
        <w:t xml:space="preserve"> </w:t>
      </w:r>
      <w:proofErr w:type="spellStart"/>
      <w:r>
        <w:rPr>
          <w:rFonts w:ascii="Roboto" w:eastAsia="Roboto" w:hAnsi="Roboto" w:cs="Roboto"/>
          <w:sz w:val="22"/>
          <w:szCs w:val="22"/>
        </w:rPr>
        <w:t>Incorporated</w:t>
      </w:r>
      <w:proofErr w:type="spellEnd"/>
      <w:r>
        <w:rPr>
          <w:rFonts w:ascii="Roboto" w:eastAsia="Roboto" w:hAnsi="Roboto" w:cs="Roboto"/>
          <w:sz w:val="22"/>
          <w:szCs w:val="22"/>
        </w:rPr>
        <w:t xml:space="preserve"> (Global ACI) destaca en esta fecha señalada cómo, en un entorno marcado por la rápida evolución tecnológica, las complejas cadenas de suministro globales y los crecientes desafíos ambientales y sociales, la confianza en los productos y servicios resulta esencial para el correcto funcionamiento de los mercados y favorecer la competitividad de las organizaciones.</w:t>
      </w:r>
    </w:p>
    <w:p w14:paraId="10E9E46E" w14:textId="77777777" w:rsidR="00A00B80" w:rsidRDefault="008A5C81">
      <w:pPr>
        <w:spacing w:after="160" w:line="259" w:lineRule="auto"/>
        <w:jc w:val="both"/>
        <w:rPr>
          <w:rFonts w:ascii="Roboto" w:eastAsia="Roboto" w:hAnsi="Roboto" w:cs="Roboto"/>
          <w:sz w:val="22"/>
          <w:szCs w:val="22"/>
        </w:rPr>
      </w:pPr>
      <w:r>
        <w:rPr>
          <w:rFonts w:ascii="Roboto" w:eastAsia="Roboto" w:hAnsi="Roboto" w:cs="Roboto"/>
          <w:sz w:val="22"/>
          <w:szCs w:val="22"/>
        </w:rPr>
        <w:t>La acreditación aporta esa confianza mediante la evaluación independiente de laboratorios, entidades de certificación, organismos de inspección y organismos de validación y verificación frente a normas reconocidas internacionalmente. De este modo, gobiernos, reguladores, empresas y consumidores pueden confiar en los certificados, informes y declaraciones emitidos por las entidades acreditadas.</w:t>
      </w:r>
    </w:p>
    <w:p w14:paraId="10E9E46F" w14:textId="77777777" w:rsidR="00A00B80" w:rsidRDefault="00A00B80">
      <w:pPr>
        <w:spacing w:after="160" w:line="259" w:lineRule="auto"/>
        <w:jc w:val="both"/>
        <w:rPr>
          <w:rFonts w:ascii="Roboto" w:eastAsia="Roboto" w:hAnsi="Roboto" w:cs="Roboto"/>
          <w:sz w:val="22"/>
          <w:szCs w:val="22"/>
        </w:rPr>
      </w:pPr>
    </w:p>
    <w:p w14:paraId="10E9E470" w14:textId="77777777" w:rsidR="00A00B80" w:rsidRDefault="00A00B80">
      <w:pPr>
        <w:spacing w:after="160" w:line="259" w:lineRule="auto"/>
        <w:jc w:val="both"/>
        <w:rPr>
          <w:rFonts w:ascii="Roboto" w:eastAsia="Roboto" w:hAnsi="Roboto" w:cs="Roboto"/>
          <w:sz w:val="22"/>
          <w:szCs w:val="22"/>
        </w:rPr>
      </w:pPr>
    </w:p>
    <w:p w14:paraId="10E9E471" w14:textId="77777777" w:rsidR="005242F2" w:rsidRDefault="005242F2">
      <w:pPr>
        <w:spacing w:after="160" w:line="259" w:lineRule="auto"/>
        <w:jc w:val="both"/>
        <w:rPr>
          <w:rFonts w:ascii="Roboto" w:eastAsia="Roboto" w:hAnsi="Roboto" w:cs="Roboto"/>
          <w:sz w:val="22"/>
          <w:szCs w:val="22"/>
        </w:rPr>
      </w:pPr>
    </w:p>
    <w:p w14:paraId="10E9E472" w14:textId="77777777" w:rsidR="00A00B80" w:rsidRDefault="008A5C81">
      <w:pPr>
        <w:spacing w:after="160" w:line="259" w:lineRule="auto"/>
        <w:jc w:val="both"/>
        <w:rPr>
          <w:rFonts w:ascii="Roboto" w:eastAsia="Roboto" w:hAnsi="Roboto" w:cs="Roboto"/>
          <w:sz w:val="22"/>
          <w:szCs w:val="22"/>
        </w:rPr>
      </w:pPr>
      <w:r>
        <w:rPr>
          <w:rFonts w:ascii="Roboto" w:eastAsia="Roboto" w:hAnsi="Roboto" w:cs="Roboto"/>
          <w:sz w:val="22"/>
          <w:szCs w:val="22"/>
        </w:rPr>
        <w:t>En este contexto, Global ACI señala que la acreditación contribuye a:</w:t>
      </w:r>
    </w:p>
    <w:p w14:paraId="10E9E473" w14:textId="77777777" w:rsidR="00A00B80" w:rsidRDefault="008A5C81">
      <w:pPr>
        <w:numPr>
          <w:ilvl w:val="0"/>
          <w:numId w:val="2"/>
        </w:numPr>
        <w:spacing w:after="160" w:line="259" w:lineRule="auto"/>
        <w:jc w:val="both"/>
        <w:rPr>
          <w:rFonts w:ascii="Noto Sans Symbols" w:eastAsia="Noto Sans Symbols" w:hAnsi="Noto Sans Symbols" w:cs="Noto Sans Symbols"/>
          <w:sz w:val="22"/>
          <w:szCs w:val="22"/>
        </w:rPr>
      </w:pPr>
      <w:r>
        <w:rPr>
          <w:rFonts w:ascii="Roboto" w:eastAsia="Roboto" w:hAnsi="Roboto" w:cs="Roboto"/>
          <w:b/>
          <w:bCs/>
          <w:sz w:val="22"/>
          <w:szCs w:val="22"/>
        </w:rPr>
        <w:t>Reforzar la confianza en productos</w:t>
      </w:r>
      <w:r>
        <w:rPr>
          <w:rFonts w:ascii="Roboto" w:eastAsia="Roboto" w:hAnsi="Roboto" w:cs="Roboto"/>
          <w:sz w:val="22"/>
          <w:szCs w:val="22"/>
        </w:rPr>
        <w:t>, sistemas y servicios mediante un mecanismo independiente que permite demostrar la competencia y fiabilidad de las actividades de evaluación de la conformidad.</w:t>
      </w:r>
    </w:p>
    <w:p w14:paraId="10E9E474" w14:textId="77777777" w:rsidR="00A00B80" w:rsidRDefault="008A5C81">
      <w:pPr>
        <w:numPr>
          <w:ilvl w:val="0"/>
          <w:numId w:val="2"/>
        </w:numPr>
        <w:spacing w:after="160" w:line="259" w:lineRule="auto"/>
        <w:jc w:val="both"/>
        <w:rPr>
          <w:rFonts w:ascii="Noto Sans Symbols" w:eastAsia="Noto Sans Symbols" w:hAnsi="Noto Sans Symbols" w:cs="Noto Sans Symbols"/>
          <w:sz w:val="22"/>
          <w:szCs w:val="22"/>
        </w:rPr>
      </w:pPr>
      <w:r>
        <w:rPr>
          <w:rFonts w:ascii="Roboto" w:eastAsia="Roboto" w:hAnsi="Roboto" w:cs="Roboto"/>
          <w:b/>
          <w:bCs/>
          <w:sz w:val="22"/>
          <w:szCs w:val="22"/>
        </w:rPr>
        <w:t>Impulsar la innovación</w:t>
      </w:r>
      <w:r>
        <w:rPr>
          <w:rFonts w:ascii="Roboto" w:eastAsia="Roboto" w:hAnsi="Roboto" w:cs="Roboto"/>
          <w:sz w:val="22"/>
          <w:szCs w:val="22"/>
        </w:rPr>
        <w:t>, proporcionando un marco fiable que facilita la incorporación segura de nuevas tecnologías y favorece las mejores prácticas.</w:t>
      </w:r>
    </w:p>
    <w:p w14:paraId="10E9E475" w14:textId="77777777" w:rsidR="00A00B80" w:rsidRDefault="008A5C81">
      <w:pPr>
        <w:numPr>
          <w:ilvl w:val="0"/>
          <w:numId w:val="2"/>
        </w:numPr>
        <w:spacing w:after="160" w:line="259" w:lineRule="auto"/>
        <w:jc w:val="both"/>
        <w:rPr>
          <w:rFonts w:ascii="Noto Sans Symbols" w:eastAsia="Noto Sans Symbols" w:hAnsi="Noto Sans Symbols" w:cs="Noto Sans Symbols"/>
          <w:sz w:val="22"/>
          <w:szCs w:val="22"/>
        </w:rPr>
      </w:pPr>
      <w:r>
        <w:rPr>
          <w:rFonts w:ascii="Roboto" w:eastAsia="Roboto" w:hAnsi="Roboto" w:cs="Roboto"/>
          <w:b/>
          <w:bCs/>
          <w:sz w:val="22"/>
          <w:szCs w:val="22"/>
        </w:rPr>
        <w:t>La sostenibilidad</w:t>
      </w:r>
      <w:r>
        <w:rPr>
          <w:rFonts w:ascii="Roboto" w:eastAsia="Roboto" w:hAnsi="Roboto" w:cs="Roboto"/>
          <w:sz w:val="22"/>
          <w:szCs w:val="22"/>
        </w:rPr>
        <w:t xml:space="preserve"> mediante procesos rigurosos y coherentes que dan respuesta a las exigencias ambientales y sociales.</w:t>
      </w:r>
    </w:p>
    <w:p w14:paraId="10E9E476" w14:textId="77777777" w:rsidR="00A00B80" w:rsidRDefault="008A5C81">
      <w:pPr>
        <w:spacing w:after="160" w:line="259" w:lineRule="auto"/>
        <w:jc w:val="both"/>
        <w:rPr>
          <w:rFonts w:ascii="Roboto" w:eastAsia="Roboto" w:hAnsi="Roboto" w:cs="Roboto"/>
          <w:b/>
          <w:bCs/>
          <w:sz w:val="22"/>
          <w:szCs w:val="22"/>
          <w:u w:val="single"/>
        </w:rPr>
      </w:pPr>
      <w:r>
        <w:rPr>
          <w:rFonts w:ascii="Roboto" w:eastAsia="Roboto" w:hAnsi="Roboto" w:cs="Roboto"/>
          <w:b/>
          <w:bCs/>
          <w:sz w:val="22"/>
          <w:szCs w:val="22"/>
          <w:u w:val="single"/>
        </w:rPr>
        <w:t>Un nuevo marco internacional para la acreditación</w:t>
      </w:r>
    </w:p>
    <w:p w14:paraId="10E9E477" w14:textId="77777777" w:rsidR="00A00B80" w:rsidRDefault="008A5C81">
      <w:pPr>
        <w:spacing w:after="160" w:line="259" w:lineRule="auto"/>
        <w:jc w:val="both"/>
        <w:rPr>
          <w:rFonts w:ascii="Roboto" w:eastAsia="Roboto" w:hAnsi="Roboto" w:cs="Roboto"/>
          <w:sz w:val="22"/>
          <w:szCs w:val="22"/>
        </w:rPr>
      </w:pPr>
      <w:r>
        <w:rPr>
          <w:rFonts w:ascii="Roboto" w:eastAsia="Roboto" w:hAnsi="Roboto" w:cs="Roboto"/>
          <w:sz w:val="22"/>
          <w:szCs w:val="22"/>
        </w:rPr>
        <w:t xml:space="preserve">La edición de este año coincide, además, con la puesta en marcha de </w:t>
      </w:r>
      <w:r>
        <w:rPr>
          <w:rFonts w:ascii="Roboto" w:eastAsia="Roboto" w:hAnsi="Roboto" w:cs="Roboto"/>
          <w:b/>
          <w:bCs/>
          <w:sz w:val="22"/>
          <w:szCs w:val="22"/>
        </w:rPr>
        <w:t xml:space="preserve">Global ACI, la nueva organización internacional que reúne bajo una única estructura internacional la actividad desarrollada hasta ahora por International </w:t>
      </w:r>
      <w:proofErr w:type="spellStart"/>
      <w:r>
        <w:rPr>
          <w:rFonts w:ascii="Roboto" w:eastAsia="Roboto" w:hAnsi="Roboto" w:cs="Roboto"/>
          <w:b/>
          <w:bCs/>
          <w:sz w:val="22"/>
          <w:szCs w:val="22"/>
        </w:rPr>
        <w:t>Accreditation</w:t>
      </w:r>
      <w:proofErr w:type="spellEnd"/>
      <w:r>
        <w:rPr>
          <w:rFonts w:ascii="Roboto" w:eastAsia="Roboto" w:hAnsi="Roboto" w:cs="Roboto"/>
          <w:b/>
          <w:bCs/>
          <w:sz w:val="22"/>
          <w:szCs w:val="22"/>
        </w:rPr>
        <w:t xml:space="preserve"> Forum (IAF) e International </w:t>
      </w:r>
      <w:proofErr w:type="spellStart"/>
      <w:r>
        <w:rPr>
          <w:rFonts w:ascii="Roboto" w:eastAsia="Roboto" w:hAnsi="Roboto" w:cs="Roboto"/>
          <w:b/>
          <w:bCs/>
          <w:sz w:val="22"/>
          <w:szCs w:val="22"/>
        </w:rPr>
        <w:t>Laboratory</w:t>
      </w:r>
      <w:proofErr w:type="spellEnd"/>
      <w:r>
        <w:rPr>
          <w:rFonts w:ascii="Roboto" w:eastAsia="Roboto" w:hAnsi="Roboto" w:cs="Roboto"/>
          <w:b/>
          <w:bCs/>
          <w:sz w:val="22"/>
          <w:szCs w:val="22"/>
        </w:rPr>
        <w:t xml:space="preserve"> </w:t>
      </w:r>
      <w:proofErr w:type="spellStart"/>
      <w:r>
        <w:rPr>
          <w:rFonts w:ascii="Roboto" w:eastAsia="Roboto" w:hAnsi="Roboto" w:cs="Roboto"/>
          <w:b/>
          <w:bCs/>
          <w:sz w:val="22"/>
          <w:szCs w:val="22"/>
        </w:rPr>
        <w:t>Accreditation</w:t>
      </w:r>
      <w:proofErr w:type="spellEnd"/>
      <w:r>
        <w:rPr>
          <w:rFonts w:ascii="Roboto" w:eastAsia="Roboto" w:hAnsi="Roboto" w:cs="Roboto"/>
          <w:b/>
          <w:bCs/>
          <w:sz w:val="22"/>
          <w:szCs w:val="22"/>
        </w:rPr>
        <w:t xml:space="preserve"> </w:t>
      </w:r>
      <w:proofErr w:type="spellStart"/>
      <w:r>
        <w:rPr>
          <w:rFonts w:ascii="Roboto" w:eastAsia="Roboto" w:hAnsi="Roboto" w:cs="Roboto"/>
          <w:b/>
          <w:bCs/>
          <w:sz w:val="22"/>
          <w:szCs w:val="22"/>
        </w:rPr>
        <w:t>Cooperation</w:t>
      </w:r>
      <w:proofErr w:type="spellEnd"/>
      <w:r>
        <w:rPr>
          <w:rFonts w:ascii="Roboto" w:eastAsia="Roboto" w:hAnsi="Roboto" w:cs="Roboto"/>
          <w:b/>
          <w:bCs/>
          <w:sz w:val="22"/>
          <w:szCs w:val="22"/>
        </w:rPr>
        <w:t xml:space="preserve"> (ILAC) </w:t>
      </w:r>
      <w:r>
        <w:rPr>
          <w:rFonts w:ascii="Roboto" w:eastAsia="Roboto" w:hAnsi="Roboto" w:cs="Roboto"/>
          <w:sz w:val="22"/>
          <w:szCs w:val="22"/>
        </w:rPr>
        <w:t>y que comenzó a operar el 1 de enero de 2026, manteniendo los acuerdos, procedimientos y mecanismos de reconocimiento internacional que han sustentado durante décadas la confianza global en la acreditación.</w:t>
      </w:r>
    </w:p>
    <w:p w14:paraId="10E9E478" w14:textId="77777777" w:rsidR="00A00B80" w:rsidRDefault="008A5C81">
      <w:pPr>
        <w:spacing w:after="160" w:line="259" w:lineRule="auto"/>
        <w:jc w:val="both"/>
        <w:rPr>
          <w:rFonts w:ascii="Roboto" w:eastAsia="Roboto" w:hAnsi="Roboto" w:cs="Roboto"/>
          <w:sz w:val="22"/>
          <w:szCs w:val="22"/>
        </w:rPr>
      </w:pPr>
      <w:r>
        <w:rPr>
          <w:rFonts w:ascii="Roboto" w:eastAsia="Roboto" w:hAnsi="Roboto" w:cs="Roboto"/>
          <w:sz w:val="22"/>
          <w:szCs w:val="22"/>
        </w:rPr>
        <w:t>A través de acuerdos internacionales, los organismos de acreditación firmantes reconocen como equivalentes las evaluaciones realizadas entre sí, favoreciendo así la aceptación internacional de los resultados acreditados de evaluación de la conformidad. Esto contribuye a reducir barreras técnicas al comercio, evitar duplicidades en las evaluaciones en los países de destino y facilitar el acceso de productos y servicios a mercados internacionales.</w:t>
      </w:r>
    </w:p>
    <w:p w14:paraId="10E9E479" w14:textId="77777777" w:rsidR="00A00B80" w:rsidRDefault="008A5C81">
      <w:pPr>
        <w:spacing w:after="160" w:line="259" w:lineRule="auto"/>
        <w:jc w:val="both"/>
        <w:rPr>
          <w:rFonts w:ascii="Roboto" w:eastAsia="Roboto" w:hAnsi="Roboto" w:cs="Roboto"/>
          <w:sz w:val="22"/>
          <w:szCs w:val="22"/>
        </w:rPr>
      </w:pPr>
      <w:r>
        <w:rPr>
          <w:rFonts w:ascii="Roboto" w:eastAsia="Roboto" w:hAnsi="Roboto" w:cs="Roboto"/>
          <w:sz w:val="22"/>
          <w:szCs w:val="22"/>
        </w:rPr>
        <w:t xml:space="preserve">Con todo ello, el Día Mundial de la Acreditación 2026 pone de relieve no solo el valor de la acreditación como herramienta al servicio de la confianza, la competitividad y la sostenibilidad, sino también una </w:t>
      </w:r>
      <w:r>
        <w:rPr>
          <w:rFonts w:ascii="Roboto" w:eastAsia="Roboto" w:hAnsi="Roboto" w:cs="Roboto"/>
          <w:b/>
          <w:bCs/>
          <w:sz w:val="22"/>
          <w:szCs w:val="22"/>
        </w:rPr>
        <w:t>nueva etapa en la cooperación internacional en materia de acreditación</w:t>
      </w:r>
      <w:r>
        <w:rPr>
          <w:rFonts w:ascii="Roboto" w:eastAsia="Roboto" w:hAnsi="Roboto" w:cs="Roboto"/>
          <w:sz w:val="22"/>
          <w:szCs w:val="22"/>
        </w:rPr>
        <w:t>.</w:t>
      </w:r>
    </w:p>
    <w:p w14:paraId="10E9E47A" w14:textId="77777777" w:rsidR="00A00B80" w:rsidRDefault="008A5C81">
      <w:pPr>
        <w:spacing w:after="160" w:line="259" w:lineRule="auto"/>
        <w:jc w:val="both"/>
        <w:rPr>
          <w:rFonts w:ascii="Roboto" w:eastAsia="Roboto" w:hAnsi="Roboto" w:cs="Roboto"/>
          <w:sz w:val="22"/>
          <w:szCs w:val="22"/>
        </w:rPr>
      </w:pPr>
      <w:r>
        <w:rPr>
          <w:rFonts w:ascii="Roboto" w:eastAsia="Roboto" w:hAnsi="Roboto" w:cs="Roboto"/>
          <w:sz w:val="22"/>
          <w:szCs w:val="22"/>
        </w:rPr>
        <w:t>Con motivo de esta edición, Global ACI ha elaborado además un folleto informativo en el que se recoge el mensaje internacional del WAD2026 y se profundiza en el papel de la acreditación para impulsar la innovación, reforzar la confianza y contribuir a la sostenibilidad. El documento puede consultarse íntegramente a través del siguiente enlace.</w:t>
      </w:r>
    </w:p>
    <w:p w14:paraId="10E9E47B" w14:textId="77777777" w:rsidR="00A00B80" w:rsidRDefault="008A5C81">
      <w:pPr>
        <w:spacing w:after="160" w:line="259" w:lineRule="auto"/>
        <w:jc w:val="both"/>
        <w:rPr>
          <w:rFonts w:ascii="Roboto" w:eastAsia="Roboto" w:hAnsi="Roboto" w:cs="Roboto"/>
          <w:b/>
          <w:bCs/>
          <w:sz w:val="22"/>
          <w:szCs w:val="22"/>
          <w:u w:val="single"/>
        </w:rPr>
      </w:pPr>
      <w:r>
        <w:rPr>
          <w:rFonts w:ascii="Roboto" w:eastAsia="Roboto" w:hAnsi="Roboto" w:cs="Roboto"/>
          <w:b/>
          <w:bCs/>
          <w:sz w:val="22"/>
          <w:szCs w:val="22"/>
          <w:u w:val="single"/>
        </w:rPr>
        <w:t>40 años al servicio de la sociedad española</w:t>
      </w:r>
    </w:p>
    <w:p w14:paraId="10E9E47C" w14:textId="77777777" w:rsidR="00A00B80" w:rsidRDefault="008A5C81">
      <w:pPr>
        <w:spacing w:after="160" w:line="259" w:lineRule="auto"/>
        <w:jc w:val="both"/>
        <w:rPr>
          <w:rFonts w:ascii="Roboto" w:eastAsia="Roboto" w:hAnsi="Roboto" w:cs="Roboto"/>
          <w:i/>
          <w:iCs/>
          <w:sz w:val="22"/>
          <w:szCs w:val="22"/>
        </w:rPr>
      </w:pPr>
      <w:r>
        <w:rPr>
          <w:rFonts w:ascii="Roboto" w:eastAsia="Roboto" w:hAnsi="Roboto" w:cs="Roboto"/>
          <w:sz w:val="22"/>
          <w:szCs w:val="22"/>
        </w:rPr>
        <w:t>Asimismo, dado que este año coincide con el 40º aniversario de la acreditación en España y de ENAC, una trayectoria que ha contribuido al fortalecimiento de la infraestructura de la calidad y a generar confianza en múltiples ámbitos de actividad, a lo largo del año ENAC irá desarrollando distintas acciones e iniciativas destinadas a poner en valor la evolución del sistema de acreditación en España, sus principales hitos y su contribución al desarrollo económico y social. Toda la información podrá consultars</w:t>
      </w:r>
      <w:r>
        <w:rPr>
          <w:rFonts w:ascii="Roboto" w:eastAsia="Roboto" w:hAnsi="Roboto" w:cs="Roboto"/>
          <w:sz w:val="22"/>
          <w:szCs w:val="22"/>
        </w:rPr>
        <w:t xml:space="preserve">e en LinkedIn a través </w:t>
      </w:r>
      <w:proofErr w:type="gramStart"/>
      <w:r>
        <w:rPr>
          <w:rFonts w:ascii="Roboto" w:eastAsia="Roboto" w:hAnsi="Roboto" w:cs="Roboto"/>
          <w:sz w:val="22"/>
          <w:szCs w:val="22"/>
        </w:rPr>
        <w:t>del hashtag</w:t>
      </w:r>
      <w:proofErr w:type="gramEnd"/>
      <w:r>
        <w:rPr>
          <w:rFonts w:ascii="Roboto" w:eastAsia="Roboto" w:hAnsi="Roboto" w:cs="Roboto"/>
          <w:sz w:val="22"/>
          <w:szCs w:val="22"/>
        </w:rPr>
        <w:t xml:space="preserve"> #</w:t>
      </w:r>
      <w:r>
        <w:rPr>
          <w:rFonts w:ascii="Roboto" w:eastAsia="Roboto" w:hAnsi="Roboto" w:cs="Roboto"/>
          <w:i/>
          <w:iCs/>
          <w:sz w:val="22"/>
          <w:szCs w:val="22"/>
        </w:rPr>
        <w:t>40AñosAlServicioDeLaSociedad.</w:t>
      </w:r>
    </w:p>
    <w:p w14:paraId="10E9E47D" w14:textId="77777777" w:rsidR="00A00B80" w:rsidRDefault="00A00B8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jc w:val="both"/>
        <w:rPr>
          <w:rFonts w:ascii="Roboto" w:eastAsia="Roboto" w:hAnsi="Roboto" w:cs="Roboto"/>
          <w:b/>
          <w:bCs/>
          <w:sz w:val="22"/>
          <w:szCs w:val="22"/>
        </w:rPr>
      </w:pPr>
    </w:p>
    <w:p w14:paraId="10E9E47E" w14:textId="77777777" w:rsidR="00A00B80" w:rsidRDefault="00A00B8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jc w:val="both"/>
        <w:rPr>
          <w:rFonts w:ascii="Roboto" w:eastAsia="Roboto" w:hAnsi="Roboto" w:cs="Roboto"/>
          <w:b/>
          <w:bCs/>
          <w:sz w:val="22"/>
          <w:szCs w:val="22"/>
        </w:rPr>
      </w:pPr>
    </w:p>
    <w:p w14:paraId="10E9E47F" w14:textId="77777777" w:rsidR="00A00B80" w:rsidRDefault="008A5C8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jc w:val="both"/>
        <w:rPr>
          <w:rFonts w:ascii="Roboto" w:eastAsia="Roboto" w:hAnsi="Roboto" w:cs="Roboto"/>
          <w:color w:val="E83544"/>
          <w:sz w:val="22"/>
          <w:szCs w:val="22"/>
        </w:rPr>
      </w:pPr>
      <w:r>
        <w:rPr>
          <w:rFonts w:ascii="Roboto" w:eastAsia="Roboto" w:hAnsi="Roboto" w:cs="Roboto"/>
          <w:b/>
          <w:bCs/>
          <w:color w:val="E83544"/>
          <w:sz w:val="22"/>
          <w:szCs w:val="22"/>
        </w:rPr>
        <w:t>Sobre ENAC</w:t>
      </w:r>
      <w:r>
        <w:rPr>
          <w:rFonts w:ascii="Roboto" w:eastAsia="Roboto" w:hAnsi="Roboto" w:cs="Roboto"/>
          <w:color w:val="E83544"/>
          <w:sz w:val="22"/>
          <w:szCs w:val="22"/>
        </w:rPr>
        <w:t xml:space="preserve"> </w:t>
      </w:r>
    </w:p>
    <w:p w14:paraId="10E9E480" w14:textId="77777777" w:rsidR="00A00B80" w:rsidRDefault="008A5C81">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r>
        <w:rPr>
          <w:rFonts w:ascii="Roboto" w:eastAsia="Roboto" w:hAnsi="Roboto" w:cs="Roboto"/>
          <w:sz w:val="22"/>
          <w:szCs w:val="22"/>
        </w:rPr>
        <w:t xml:space="preserve">La Entidad Nacional de Acreditación – ENAC – es la entidad designada por el Gobierno para operar en España como el único Organismo Nacional de Acreditación, en aplicación del Reglamento (CE) nº765/2008 del Parlamento Europeo que regula el funcionamiento de la acreditación en Europa. </w:t>
      </w:r>
    </w:p>
    <w:p w14:paraId="10E9E481" w14:textId="77777777" w:rsidR="00A00B80" w:rsidRDefault="00A00B8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p>
    <w:p w14:paraId="10E9E482" w14:textId="77777777" w:rsidR="00A00B80" w:rsidRDefault="008A5C81">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r>
        <w:rPr>
          <w:rFonts w:ascii="Roboto" w:eastAsia="Roboto" w:hAnsi="Roboto" w:cs="Roboto"/>
          <w:sz w:val="22"/>
          <w:szCs w:val="22"/>
        </w:rPr>
        <w:t>ENAC tiene como misión generar confianza en el mercado y en la sociedad evaluando, a través de un sistema conforme a normas internacionales, la competencia técnica de laboratorios de ensayo o calibración, entidades de inspección, entidades de certificación y verificadores medioambientales que desarrollen su actividad en cualquier sector: industria,  energía, medio ambiente, sanidad, alimentación, investigación, desarrollo e innovación, transportes, telecomunicaciones, turismo, servicios, construcción, etc. </w:t>
      </w:r>
      <w:r>
        <w:rPr>
          <w:rFonts w:ascii="Roboto" w:eastAsia="Roboto" w:hAnsi="Roboto" w:cs="Roboto"/>
          <w:sz w:val="22"/>
          <w:szCs w:val="22"/>
        </w:rPr>
        <w:t xml:space="preserve">Contribuye, así, a la seguridad y el bienestar de las personas, la calidad de los productos y servicios, la protección del medioambiente y, con ello, al aumento de la competitividad de los productos y servicios españoles y a una disminución de los costes para la sociedad debidos a estas actividades.  </w:t>
      </w:r>
    </w:p>
    <w:p w14:paraId="10E9E483" w14:textId="77777777" w:rsidR="00A00B80" w:rsidRDefault="00A00B8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p>
    <w:p w14:paraId="10E9E484" w14:textId="77777777" w:rsidR="00A00B80" w:rsidRDefault="008A5C81">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r>
        <w:rPr>
          <w:rFonts w:ascii="Roboto" w:eastAsia="Roboto" w:hAnsi="Roboto" w:cs="Roboto"/>
          <w:sz w:val="22"/>
          <w:szCs w:val="22"/>
        </w:rPr>
        <w:t xml:space="preserve">La marca ENAC es la manera de distinguir si un certificado o informe está acreditado o no. Aporta confianza en que la organización que lo emite es técnicamente competente para llevar a cabo la tarea que realiza, y lo es tanto en España como en los 120 países en los que la marca de ENAC es reconocida y aceptada gracias a los acuerdos de reconocimiento que ENAC ha suscrito con las entidades de acreditación de esos países. </w:t>
      </w:r>
    </w:p>
    <w:p w14:paraId="10E9E485" w14:textId="77777777" w:rsidR="00A00B80" w:rsidRDefault="00A00B80">
      <w:pPr>
        <w:jc w:val="both"/>
        <w:rPr>
          <w:rFonts w:ascii="Roboto" w:eastAsia="Roboto" w:hAnsi="Roboto" w:cs="Roboto"/>
          <w:sz w:val="22"/>
          <w:szCs w:val="22"/>
        </w:rPr>
      </w:pPr>
    </w:p>
    <w:p w14:paraId="10E9E486" w14:textId="77777777" w:rsidR="00A00B80" w:rsidRDefault="00A00B80">
      <w:pPr>
        <w:pBdr>
          <w:bottom w:val="single" w:sz="12" w:space="1" w:color="000000"/>
        </w:pBdr>
        <w:jc w:val="both"/>
        <w:rPr>
          <w:rFonts w:ascii="Roboto" w:eastAsia="Roboto" w:hAnsi="Roboto" w:cs="Roboto"/>
          <w:color w:val="E83544"/>
          <w:sz w:val="22"/>
          <w:szCs w:val="22"/>
        </w:rPr>
      </w:pPr>
      <w:hyperlink r:id="rId12">
        <w:r>
          <w:rPr>
            <w:rFonts w:ascii="Roboto" w:eastAsia="Roboto" w:hAnsi="Roboto" w:cs="Roboto"/>
            <w:color w:val="E83544"/>
            <w:sz w:val="22"/>
            <w:szCs w:val="22"/>
            <w:u w:val="single"/>
          </w:rPr>
          <w:t>www.enac.es</w:t>
        </w:r>
      </w:hyperlink>
      <w:r w:rsidR="008A5C81">
        <w:rPr>
          <w:rFonts w:ascii="Roboto" w:eastAsia="Roboto" w:hAnsi="Roboto" w:cs="Roboto"/>
          <w:color w:val="E83544"/>
          <w:sz w:val="22"/>
          <w:szCs w:val="22"/>
        </w:rPr>
        <w:t xml:space="preserve"> </w:t>
      </w:r>
    </w:p>
    <w:p w14:paraId="10E9E487" w14:textId="77777777" w:rsidR="00A00B80" w:rsidRDefault="00A00B80">
      <w:pPr>
        <w:pBdr>
          <w:bottom w:val="single" w:sz="12" w:space="1" w:color="000000"/>
        </w:pBdr>
        <w:jc w:val="both"/>
        <w:rPr>
          <w:rFonts w:ascii="Roboto" w:eastAsia="Roboto" w:hAnsi="Roboto" w:cs="Roboto"/>
          <w:color w:val="E83544"/>
          <w:sz w:val="22"/>
          <w:szCs w:val="22"/>
        </w:rPr>
      </w:pPr>
    </w:p>
    <w:p w14:paraId="10E9E488" w14:textId="77777777" w:rsidR="00A00B80" w:rsidRDefault="008A5C81">
      <w:pPr>
        <w:pBdr>
          <w:bottom w:val="single" w:sz="12" w:space="1" w:color="000000"/>
        </w:pBdr>
        <w:jc w:val="both"/>
        <w:rPr>
          <w:rFonts w:ascii="Roboto" w:eastAsia="Roboto" w:hAnsi="Roboto" w:cs="Roboto"/>
          <w:sz w:val="22"/>
          <w:szCs w:val="22"/>
        </w:rPr>
      </w:pPr>
      <w:r>
        <w:rPr>
          <w:rFonts w:ascii="Roboto" w:eastAsia="Roboto" w:hAnsi="Roboto" w:cs="Roboto"/>
          <w:color w:val="0000FF"/>
          <w:sz w:val="22"/>
          <w:szCs w:val="22"/>
        </w:rPr>
        <w:t xml:space="preserve">  </w:t>
      </w:r>
      <w:r>
        <w:rPr>
          <w:rFonts w:ascii="Roboto" w:eastAsia="Roboto" w:hAnsi="Roboto" w:cs="Roboto"/>
          <w:noProof/>
          <w:color w:val="0000FF"/>
          <w:sz w:val="22"/>
          <w:szCs w:val="22"/>
        </w:rPr>
        <w:drawing>
          <wp:inline distT="0" distB="0" distL="0" distR="0" wp14:anchorId="10E9E491" wp14:editId="10E9E492">
            <wp:extent cx="304800" cy="304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304800" cy="304800"/>
                    </a:xfrm>
                    <a:prstGeom prst="rect">
                      <a:avLst/>
                    </a:prstGeom>
                    <a:ln/>
                  </pic:spPr>
                </pic:pic>
              </a:graphicData>
            </a:graphic>
          </wp:inline>
        </w:drawing>
      </w:r>
    </w:p>
    <w:p w14:paraId="10E9E489" w14:textId="77777777" w:rsidR="00A00B80" w:rsidRDefault="00A00B80">
      <w:pPr>
        <w:pBdr>
          <w:bottom w:val="single" w:sz="12" w:space="1" w:color="000000"/>
        </w:pBdr>
        <w:jc w:val="both"/>
        <w:rPr>
          <w:rFonts w:ascii="Roboto" w:eastAsia="Roboto" w:hAnsi="Roboto" w:cs="Roboto"/>
          <w:color w:val="E83544"/>
          <w:sz w:val="22"/>
          <w:szCs w:val="22"/>
        </w:rPr>
      </w:pPr>
    </w:p>
    <w:p w14:paraId="10E9E48A" w14:textId="77777777" w:rsidR="00A00B80" w:rsidRDefault="00A00B80">
      <w:pPr>
        <w:jc w:val="both"/>
        <w:rPr>
          <w:rFonts w:ascii="Roboto" w:eastAsia="Roboto" w:hAnsi="Roboto" w:cs="Roboto"/>
          <w:color w:val="E83544"/>
          <w:sz w:val="22"/>
          <w:szCs w:val="22"/>
        </w:rPr>
      </w:pPr>
    </w:p>
    <w:p w14:paraId="10E9E48B" w14:textId="77777777" w:rsidR="00A00B80" w:rsidRDefault="008A5C81">
      <w:pPr>
        <w:jc w:val="both"/>
        <w:rPr>
          <w:rFonts w:ascii="Roboto" w:eastAsia="Roboto" w:hAnsi="Roboto" w:cs="Roboto"/>
          <w:sz w:val="22"/>
          <w:szCs w:val="22"/>
        </w:rPr>
      </w:pPr>
      <w:r>
        <w:rPr>
          <w:rFonts w:ascii="Roboto" w:eastAsia="Roboto" w:hAnsi="Roboto" w:cs="Roboto"/>
          <w:sz w:val="22"/>
          <w:szCs w:val="22"/>
        </w:rPr>
        <w:t>Para más información sobre la nota de prensa, resolver dudas o gestionar entrevistas</w:t>
      </w:r>
    </w:p>
    <w:p w14:paraId="10E9E48C" w14:textId="77777777" w:rsidR="00A00B80" w:rsidRDefault="008A5C81">
      <w:pPr>
        <w:jc w:val="both"/>
        <w:rPr>
          <w:rFonts w:ascii="Roboto" w:eastAsia="Roboto" w:hAnsi="Roboto" w:cs="Roboto"/>
          <w:sz w:val="22"/>
          <w:szCs w:val="22"/>
        </w:rPr>
      </w:pPr>
      <w:r>
        <w:rPr>
          <w:rFonts w:ascii="Roboto" w:eastAsia="Roboto" w:hAnsi="Roboto" w:cs="Roboto"/>
          <w:sz w:val="22"/>
          <w:szCs w:val="22"/>
        </w:rPr>
        <w:t>Eva Martín</w:t>
      </w:r>
    </w:p>
    <w:p w14:paraId="10E9E48D" w14:textId="77777777" w:rsidR="00A00B80" w:rsidRDefault="008A5C81">
      <w:pPr>
        <w:jc w:val="both"/>
        <w:rPr>
          <w:rFonts w:ascii="Roboto" w:eastAsia="Roboto" w:hAnsi="Roboto" w:cs="Roboto"/>
          <w:sz w:val="22"/>
          <w:szCs w:val="22"/>
        </w:rPr>
      </w:pPr>
      <w:r>
        <w:rPr>
          <w:rFonts w:ascii="Roboto" w:eastAsia="Roboto" w:hAnsi="Roboto" w:cs="Roboto"/>
          <w:sz w:val="22"/>
          <w:szCs w:val="22"/>
        </w:rPr>
        <w:t xml:space="preserve">Tfno. 628 17 49 01 / </w:t>
      </w:r>
      <w:r>
        <w:rPr>
          <w:rFonts w:ascii="Roboto" w:eastAsia="Roboto" w:hAnsi="Roboto" w:cs="Roboto"/>
          <w:color w:val="E83544"/>
          <w:sz w:val="22"/>
          <w:szCs w:val="22"/>
        </w:rPr>
        <w:t xml:space="preserve"> </w:t>
      </w:r>
      <w:hyperlink r:id="rId14">
        <w:r w:rsidR="00A00B80">
          <w:rPr>
            <w:rFonts w:ascii="Roboto" w:eastAsia="Roboto" w:hAnsi="Roboto" w:cs="Roboto"/>
            <w:color w:val="E83544"/>
            <w:sz w:val="22"/>
            <w:szCs w:val="22"/>
            <w:u w:val="single"/>
          </w:rPr>
          <w:t>evamc@varenga.es</w:t>
        </w:r>
      </w:hyperlink>
    </w:p>
    <w:p w14:paraId="10E9E48E" w14:textId="77777777" w:rsidR="00A00B80" w:rsidRDefault="00A00B80"/>
    <w:p w14:paraId="10E9E48F" w14:textId="77777777" w:rsidR="00A00B80" w:rsidRDefault="00A00B80"/>
    <w:p w14:paraId="10E9E490" w14:textId="77777777" w:rsidR="00A00B80" w:rsidRDefault="00A00B80">
      <w:pPr>
        <w:pBdr>
          <w:top w:val="nil"/>
          <w:left w:val="nil"/>
          <w:bottom w:val="nil"/>
          <w:right w:val="nil"/>
          <w:between w:val="nil"/>
        </w:pBdr>
        <w:rPr>
          <w:rFonts w:ascii="Calibri" w:eastAsia="Calibri" w:hAnsi="Calibri" w:cs="Calibri"/>
          <w:highlight w:val="white"/>
        </w:rPr>
      </w:pPr>
    </w:p>
    <w:sectPr w:rsidR="00A00B80">
      <w:headerReference w:type="even" r:id="rId15"/>
      <w:headerReference w:type="default" r:id="rId16"/>
      <w:footerReference w:type="even" r:id="rId17"/>
      <w:footerReference w:type="default" r:id="rId18"/>
      <w:headerReference w:type="first" r:id="rId19"/>
      <w:footerReference w:type="first" r:id="rId20"/>
      <w:pgSz w:w="11906" w:h="16838"/>
      <w:pgMar w:top="1417" w:right="1701" w:bottom="1276"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E9A00" w14:textId="77777777" w:rsidR="008A5C81" w:rsidRDefault="008A5C81">
      <w:r>
        <w:separator/>
      </w:r>
    </w:p>
  </w:endnote>
  <w:endnote w:type="continuationSeparator" w:id="0">
    <w:p w14:paraId="7EB4C6B4" w14:textId="77777777" w:rsidR="008A5C81" w:rsidRDefault="008A5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62B9505-1C62-4597-AD73-7E3985DA3E75}"/>
  </w:font>
  <w:font w:name="Roboto">
    <w:altName w:val="Arial"/>
    <w:panose1 w:val="02000000000000000000"/>
    <w:charset w:val="00"/>
    <w:family w:val="auto"/>
    <w:pitch w:val="variable"/>
    <w:sig w:usb0="E0000AFF" w:usb1="5000217F" w:usb2="00000021" w:usb3="00000000" w:csb0="0000019F" w:csb1="00000000"/>
    <w:embedRegular r:id="rId2" w:fontKey="{97E91D48-B412-4FA4-AC3F-327BB23C4DF6}"/>
    <w:embedBold r:id="rId3" w:fontKey="{903DEFDF-37DB-4D61-B4FA-FC601F702371}"/>
    <w:embedItalic r:id="rId4" w:fontKey="{B869C6E4-6320-4A0E-97BD-BB46C2C77857}"/>
  </w:font>
  <w:font w:name="Noto Sans Symbols">
    <w:charset w:val="00"/>
    <w:family w:val="auto"/>
    <w:pitch w:val="default"/>
    <w:embedRegular r:id="rId5" w:fontKey="{40AA9E71-EF2C-4BD3-A86F-42DCBED2017C}"/>
  </w:font>
  <w:font w:name="Calibri">
    <w:panose1 w:val="020F0502020204030204"/>
    <w:charset w:val="00"/>
    <w:family w:val="swiss"/>
    <w:pitch w:val="variable"/>
    <w:sig w:usb0="E4002EFF" w:usb1="C200247B" w:usb2="00000009" w:usb3="00000000" w:csb0="000001FF" w:csb1="00000000"/>
    <w:embedRegular r:id="rId6" w:fontKey="{A70F54A6-4C63-490D-A92F-42302A29E021}"/>
  </w:font>
  <w:font w:name="Cambria">
    <w:panose1 w:val="02040503050406030204"/>
    <w:charset w:val="00"/>
    <w:family w:val="roman"/>
    <w:pitch w:val="variable"/>
    <w:sig w:usb0="E00006FF" w:usb1="420024FF" w:usb2="02000000" w:usb3="00000000" w:csb0="0000019F" w:csb1="00000000"/>
    <w:embedRegular r:id="rId7" w:fontKey="{016344C6-A384-487B-924B-DBA1962251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9E499" w14:textId="77777777" w:rsidR="00A00B80" w:rsidRDefault="00A00B80">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9E49A" w14:textId="0F994C94" w:rsidR="00A00B80" w:rsidRDefault="008A5C81">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D550CD">
      <w:rPr>
        <w:noProof/>
        <w:color w:val="000000"/>
      </w:rPr>
      <w:t>1</w:t>
    </w:r>
    <w:r>
      <w:rPr>
        <w:color w:val="000000"/>
      </w:rPr>
      <w:fldChar w:fldCharType="end"/>
    </w:r>
  </w:p>
  <w:p w14:paraId="10E9E49B" w14:textId="77777777" w:rsidR="00A00B80" w:rsidRDefault="00A00B80">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9E49D" w14:textId="77777777" w:rsidR="00A00B80" w:rsidRDefault="00A00B80">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E2184" w14:textId="77777777" w:rsidR="008A5C81" w:rsidRDefault="008A5C81">
      <w:r>
        <w:separator/>
      </w:r>
    </w:p>
  </w:footnote>
  <w:footnote w:type="continuationSeparator" w:id="0">
    <w:p w14:paraId="4E35A4A4" w14:textId="77777777" w:rsidR="008A5C81" w:rsidRDefault="008A5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9E493" w14:textId="77777777" w:rsidR="00A00B80" w:rsidRDefault="00A00B80">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9E494" w14:textId="77777777" w:rsidR="00A00B80" w:rsidRDefault="008A5C81">
    <w:pPr>
      <w:spacing w:line="276" w:lineRule="auto"/>
    </w:pPr>
    <w:r>
      <w:t xml:space="preserve">                                                                           </w:t>
    </w:r>
    <w:r>
      <w:rPr>
        <w:noProof/>
      </w:rPr>
      <w:drawing>
        <wp:anchor distT="0" distB="0" distL="0" distR="0" simplePos="0" relativeHeight="251658240" behindDoc="0" locked="0" layoutInCell="1" hidden="0" allowOverlap="1" wp14:anchorId="0D24598F" wp14:editId="0D245990">
          <wp:simplePos x="0" y="0"/>
          <wp:positionH relativeFrom="column">
            <wp:posOffset>19050</wp:posOffset>
          </wp:positionH>
          <wp:positionV relativeFrom="paragraph">
            <wp:posOffset>19050</wp:posOffset>
          </wp:positionV>
          <wp:extent cx="1240365" cy="805879"/>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40365" cy="805879"/>
                  </a:xfrm>
                  <a:prstGeom prst="rect">
                    <a:avLst/>
                  </a:prstGeom>
                  <a:ln/>
                </pic:spPr>
              </pic:pic>
            </a:graphicData>
          </a:graphic>
        </wp:anchor>
      </w:drawing>
    </w:r>
    <w:r>
      <w:rPr>
        <w:noProof/>
      </w:rPr>
      <w:drawing>
        <wp:anchor distT="0" distB="0" distL="0" distR="0" simplePos="0" relativeHeight="251658241" behindDoc="0" locked="0" layoutInCell="1" hidden="0" allowOverlap="1" wp14:anchorId="0D245991" wp14:editId="0D245992">
          <wp:simplePos x="0" y="0"/>
          <wp:positionH relativeFrom="column">
            <wp:posOffset>4152900</wp:posOffset>
          </wp:positionH>
          <wp:positionV relativeFrom="paragraph">
            <wp:posOffset>142875</wp:posOffset>
          </wp:positionV>
          <wp:extent cx="1157297" cy="684798"/>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t="-8" b="-8"/>
                  <a:stretch>
                    <a:fillRect/>
                  </a:stretch>
                </pic:blipFill>
                <pic:spPr>
                  <a:xfrm>
                    <a:off x="0" y="0"/>
                    <a:ext cx="1157297" cy="684798"/>
                  </a:xfrm>
                  <a:prstGeom prst="rect">
                    <a:avLst/>
                  </a:prstGeom>
                  <a:ln/>
                </pic:spPr>
              </pic:pic>
            </a:graphicData>
          </a:graphic>
        </wp:anchor>
      </w:drawing>
    </w:r>
  </w:p>
  <w:p w14:paraId="10E9E495" w14:textId="77777777" w:rsidR="00A00B80" w:rsidRDefault="00A00B80">
    <w:pPr>
      <w:spacing w:line="276" w:lineRule="auto"/>
    </w:pPr>
  </w:p>
  <w:p w14:paraId="10E9E496" w14:textId="77777777" w:rsidR="00A00B80" w:rsidRDefault="00A00B80">
    <w:pPr>
      <w:spacing w:line="276" w:lineRule="auto"/>
    </w:pPr>
  </w:p>
  <w:p w14:paraId="10E9E497" w14:textId="77777777" w:rsidR="00A00B80" w:rsidRDefault="00A00B80">
    <w:pPr>
      <w:spacing w:line="276" w:lineRule="auto"/>
    </w:pPr>
  </w:p>
  <w:p w14:paraId="10E9E498" w14:textId="77777777" w:rsidR="00A00B80" w:rsidRDefault="00A00B80">
    <w:pPr>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9E49C" w14:textId="77777777" w:rsidR="00A00B80" w:rsidRDefault="00A00B80">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23DA2"/>
    <w:multiLevelType w:val="multilevel"/>
    <w:tmpl w:val="7592E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7EA0C52"/>
    <w:multiLevelType w:val="multilevel"/>
    <w:tmpl w:val="9BF21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7187517">
    <w:abstractNumId w:val="0"/>
  </w:num>
  <w:num w:numId="2" w16cid:durableId="336268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2F2"/>
    <w:rsid w:val="001B79AE"/>
    <w:rsid w:val="00205BA0"/>
    <w:rsid w:val="002E6393"/>
    <w:rsid w:val="005242F2"/>
    <w:rsid w:val="008A5C81"/>
    <w:rsid w:val="00A00B80"/>
    <w:rsid w:val="00BA17DF"/>
    <w:rsid w:val="00D3417E"/>
    <w:rsid w:val="00D550CD"/>
    <w:rsid w:val="00DB3A0C"/>
    <w:rsid w:val="00F001CB"/>
    <w:rsid w:val="00FD69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9E460"/>
  <w15:docId w15:val="{E8CE7FF7-89F2-4B82-9F53-99BF06F5D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Encabezado">
    <w:name w:val="header"/>
    <w:basedOn w:val="Normal"/>
    <w:link w:val="EncabezadoCar"/>
    <w:uiPriority w:val="99"/>
    <w:semiHidden/>
    <w:unhideWhenUsed/>
    <w:rsid w:val="001B79AE"/>
    <w:pPr>
      <w:tabs>
        <w:tab w:val="center" w:pos="4252"/>
        <w:tab w:val="right" w:pos="8504"/>
      </w:tabs>
    </w:pPr>
  </w:style>
  <w:style w:type="character" w:customStyle="1" w:styleId="EncabezadoCar">
    <w:name w:val="Encabezado Car"/>
    <w:basedOn w:val="Fuentedeprrafopredeter"/>
    <w:link w:val="Encabezado"/>
    <w:uiPriority w:val="99"/>
    <w:semiHidden/>
    <w:rsid w:val="001B79AE"/>
  </w:style>
  <w:style w:type="paragraph" w:styleId="Piedepgina">
    <w:name w:val="footer"/>
    <w:basedOn w:val="Normal"/>
    <w:link w:val="PiedepginaCar"/>
    <w:uiPriority w:val="99"/>
    <w:semiHidden/>
    <w:unhideWhenUsed/>
    <w:rsid w:val="001B79AE"/>
    <w:pPr>
      <w:tabs>
        <w:tab w:val="center" w:pos="4252"/>
        <w:tab w:val="right" w:pos="8504"/>
      </w:tabs>
    </w:pPr>
  </w:style>
  <w:style w:type="character" w:customStyle="1" w:styleId="PiedepginaCar">
    <w:name w:val="Pie de página Car"/>
    <w:basedOn w:val="Fuentedeprrafopredeter"/>
    <w:link w:val="Piedepgina"/>
    <w:uiPriority w:val="99"/>
    <w:semiHidden/>
    <w:rsid w:val="001B7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nac.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ac.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vamc@varenga.es"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290ce1-b2e7-4ccb-948d-a290ef611fa1">
      <Terms xmlns="http://schemas.microsoft.com/office/infopath/2007/PartnerControls"/>
    </lcf76f155ced4ddcb4097134ff3c332f>
    <TaxCatchAll xmlns="909e21e3-a2e2-47ca-be0e-9c3a9bef92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152DE15686E4843A3780C010A78B13A" ma:contentTypeVersion="16" ma:contentTypeDescription="Crear nuevo documento." ma:contentTypeScope="" ma:versionID="35b7714a55062d14d892f3522112704a">
  <xsd:schema xmlns:xsd="http://www.w3.org/2001/XMLSchema" xmlns:xs="http://www.w3.org/2001/XMLSchema" xmlns:p="http://schemas.microsoft.com/office/2006/metadata/properties" xmlns:ns2="6e290ce1-b2e7-4ccb-948d-a290ef611fa1" xmlns:ns3="909e21e3-a2e2-47ca-be0e-9c3a9bef9292" targetNamespace="http://schemas.microsoft.com/office/2006/metadata/properties" ma:root="true" ma:fieldsID="92a12215dc0792136b523b9589aa527d" ns2:_="" ns3:_="">
    <xsd:import namespace="6e290ce1-b2e7-4ccb-948d-a290ef611fa1"/>
    <xsd:import namespace="909e21e3-a2e2-47ca-be0e-9c3a9bef929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90ce1-b2e7-4ccb-948d-a290ef611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5c5079e-b5d9-4f40-8558-acc8d9d79a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e21e3-a2e2-47ca-be0e-9c3a9bef9292"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36efcf77-0706-4f8e-b256-a6b4bd8b1840}" ma:internalName="TaxCatchAll" ma:showField="CatchAllData" ma:web="909e21e3-a2e2-47ca-be0e-9c3a9bef9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XfWdF+KGWB1H7d0infRcqh6gPw==">CgMxLjA4AGojChRzdWdnZXN0LmE3Njh6cnN6Y3k5ehILRXZhIE1hcnTDrW5yITFOWjVoNHNBTXlLLTdhSDkybVFReFotVjBzaFJobkRRRw==</go:docsCustomData>
</go:gDocsCustomXmlDataStorage>
</file>

<file path=customXml/itemProps1.xml><?xml version="1.0" encoding="utf-8"?>
<ds:datastoreItem xmlns:ds="http://schemas.openxmlformats.org/officeDocument/2006/customXml" ds:itemID="{FEE5252B-4A1C-4E9F-BF47-6B6CDC578A33}">
  <ds:schemaRefs>
    <ds:schemaRef ds:uri="http://schemas.microsoft.com/office/2006/metadata/properties"/>
    <ds:schemaRef ds:uri="http://schemas.microsoft.com/office/infopath/2007/PartnerControls"/>
    <ds:schemaRef ds:uri="6e290ce1-b2e7-4ccb-948d-a290ef611fa1"/>
    <ds:schemaRef ds:uri="909e21e3-a2e2-47ca-be0e-9c3a9bef9292"/>
  </ds:schemaRefs>
</ds:datastoreItem>
</file>

<file path=customXml/itemProps2.xml><?xml version="1.0" encoding="utf-8"?>
<ds:datastoreItem xmlns:ds="http://schemas.openxmlformats.org/officeDocument/2006/customXml" ds:itemID="{50403AFB-06B0-4CE5-A4D0-5703C6735F51}">
  <ds:schemaRefs>
    <ds:schemaRef ds:uri="http://schemas.microsoft.com/sharepoint/v3/contenttype/forms"/>
  </ds:schemaRefs>
</ds:datastoreItem>
</file>

<file path=customXml/itemProps3.xml><?xml version="1.0" encoding="utf-8"?>
<ds:datastoreItem xmlns:ds="http://schemas.openxmlformats.org/officeDocument/2006/customXml" ds:itemID="{06FBC337-FBB2-4E15-920A-EB3211882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90ce1-b2e7-4ccb-948d-a290ef611fa1"/>
    <ds:schemaRef ds:uri="909e21e3-a2e2-47ca-be0e-9c3a9bef9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1068</Words>
  <Characters>5876</Characters>
  <Application>Microsoft Office Word</Application>
  <DocSecurity>0</DocSecurity>
  <Lines>48</Lines>
  <Paragraphs>13</Paragraphs>
  <ScaleCrop>false</ScaleCrop>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Soledad Pacheco Alonso</cp:lastModifiedBy>
  <cp:revision>7</cp:revision>
  <dcterms:created xsi:type="dcterms:W3CDTF">2026-06-05T07:45:00Z</dcterms:created>
  <dcterms:modified xsi:type="dcterms:W3CDTF">2026-06-08T07:29:00Z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0x0101009152DE15686E4843A3780C010A78B13A</vt:lpwstr>
  </property>
  <property fmtid="{D5CDD505-2E9C-101B-9397-08002B2CF9AE}" pid="3" name="MediaServiceImageTags">
    <vt:lpwstr>MediaServiceImageTags</vt:lpwstr>
  </property>
</Properties>
</file>