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65B6A" w14:textId="77777777" w:rsidR="003A1A1F" w:rsidRDefault="00000000">
      <w:pPr>
        <w:spacing w:line="276" w:lineRule="auto"/>
        <w:jc w:val="center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sz w:val="40"/>
          <w:szCs w:val="40"/>
        </w:rPr>
        <w:t>NOTA DE PRENSA</w:t>
      </w:r>
      <w:r>
        <w:rPr>
          <w:rFonts w:ascii="Roboto" w:eastAsia="Roboto" w:hAnsi="Roboto" w:cs="Roboto"/>
          <w:sz w:val="22"/>
          <w:szCs w:val="22"/>
        </w:rPr>
        <w:t xml:space="preserve"> </w:t>
      </w:r>
    </w:p>
    <w:p w14:paraId="20DDC50E" w14:textId="77777777" w:rsidR="003A1A1F" w:rsidRDefault="003A1A1F">
      <w:pPr>
        <w:jc w:val="center"/>
        <w:rPr>
          <w:rFonts w:ascii="Roboto" w:eastAsia="Roboto" w:hAnsi="Roboto" w:cs="Roboto"/>
          <w:sz w:val="30"/>
          <w:szCs w:val="30"/>
        </w:rPr>
      </w:pPr>
    </w:p>
    <w:p w14:paraId="76DD71DD" w14:textId="77777777" w:rsidR="003A1A1F" w:rsidRDefault="00000000">
      <w:pPr>
        <w:jc w:val="center"/>
        <w:rPr>
          <w:rFonts w:ascii="Roboto" w:eastAsia="Roboto" w:hAnsi="Roboto" w:cs="Roboto"/>
          <w:b/>
          <w:bCs/>
          <w:sz w:val="34"/>
          <w:szCs w:val="34"/>
        </w:rPr>
      </w:pPr>
      <w:r>
        <w:rPr>
          <w:rFonts w:ascii="Roboto" w:eastAsia="Roboto" w:hAnsi="Roboto" w:cs="Roboto"/>
          <w:b/>
          <w:bCs/>
          <w:sz w:val="34"/>
          <w:szCs w:val="34"/>
        </w:rPr>
        <w:t>La acreditación de biobancos sigue creciendo en España con la incorporación del Biobanco La Fe</w:t>
      </w:r>
    </w:p>
    <w:p w14:paraId="28662BF0" w14:textId="77777777" w:rsidR="003A1A1F" w:rsidRDefault="00000000">
      <w:pPr>
        <w:jc w:val="center"/>
        <w:rPr>
          <w:rFonts w:ascii="Roboto" w:eastAsia="Roboto" w:hAnsi="Roboto" w:cs="Roboto"/>
          <w:b/>
          <w:bCs/>
          <w:sz w:val="34"/>
          <w:szCs w:val="34"/>
          <w:highlight w:val="white"/>
        </w:rPr>
      </w:pPr>
      <w:r>
        <w:rPr>
          <w:rFonts w:ascii="Roboto" w:eastAsia="Roboto" w:hAnsi="Roboto" w:cs="Roboto"/>
          <w:b/>
          <w:bCs/>
          <w:sz w:val="34"/>
          <w:szCs w:val="34"/>
          <w:highlight w:val="white"/>
        </w:rPr>
        <w:t xml:space="preserve"> </w:t>
      </w:r>
      <w:r>
        <w:rPr>
          <w:rFonts w:ascii="Roboto" w:eastAsia="Roboto" w:hAnsi="Roboto" w:cs="Roboto"/>
          <w:sz w:val="34"/>
          <w:szCs w:val="34"/>
          <w:highlight w:val="white"/>
        </w:rPr>
        <w:t xml:space="preserve"> </w:t>
      </w:r>
      <w:r>
        <w:rPr>
          <w:rFonts w:ascii="Roboto" w:eastAsia="Roboto" w:hAnsi="Roboto" w:cs="Roboto"/>
          <w:b/>
          <w:bCs/>
          <w:sz w:val="34"/>
          <w:szCs w:val="34"/>
          <w:highlight w:val="white"/>
        </w:rPr>
        <w:t xml:space="preserve"> </w:t>
      </w:r>
    </w:p>
    <w:p w14:paraId="72B06B61" w14:textId="77777777" w:rsidR="003A1A1F" w:rsidRDefault="00000000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  <w:sz w:val="22"/>
          <w:szCs w:val="22"/>
        </w:rPr>
        <w:t>La implantación en España del esquema de acreditación específico para biobancos se consolida como una herramienta que aporta confianza a los investigadores sobre la calidad y competencia técnica con la que se gestionan las muestras biológicas destinadas a la investigación</w:t>
      </w:r>
      <w:r>
        <w:rPr>
          <w:rFonts w:ascii="Roboto" w:eastAsia="Roboto" w:hAnsi="Roboto" w:cs="Roboto"/>
          <w:sz w:val="22"/>
          <w:szCs w:val="22"/>
        </w:rPr>
        <w:t>.</w:t>
      </w:r>
    </w:p>
    <w:p w14:paraId="7514563B" w14:textId="77777777" w:rsidR="003A1A1F" w:rsidRDefault="003A1A1F">
      <w:pPr>
        <w:jc w:val="both"/>
        <w:rPr>
          <w:rFonts w:ascii="Roboto" w:eastAsia="Roboto" w:hAnsi="Roboto" w:cs="Roboto"/>
          <w:b/>
          <w:bCs/>
          <w:sz w:val="20"/>
          <w:szCs w:val="20"/>
        </w:rPr>
      </w:pPr>
    </w:p>
    <w:p w14:paraId="283D0827" w14:textId="77777777" w:rsidR="003A1A1F" w:rsidRDefault="003A1A1F">
      <w:pPr>
        <w:jc w:val="both"/>
        <w:rPr>
          <w:rFonts w:ascii="Roboto" w:eastAsia="Roboto" w:hAnsi="Roboto" w:cs="Roboto"/>
          <w:b/>
          <w:bCs/>
          <w:sz w:val="20"/>
          <w:szCs w:val="20"/>
        </w:rPr>
      </w:pPr>
    </w:p>
    <w:p w14:paraId="486E773D" w14:textId="77777777" w:rsidR="003A1A1F" w:rsidRDefault="00000000">
      <w:pPr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Valencia, 26 de junio de 2026.- El Biobanco La Fe, del Hospital </w:t>
      </w:r>
      <w:proofErr w:type="spellStart"/>
      <w:r>
        <w:rPr>
          <w:rFonts w:ascii="Roboto" w:eastAsia="Roboto" w:hAnsi="Roboto" w:cs="Roboto"/>
          <w:sz w:val="22"/>
          <w:szCs w:val="22"/>
        </w:rPr>
        <w:t>Universitari</w:t>
      </w:r>
      <w:proofErr w:type="spellEnd"/>
      <w:r>
        <w:rPr>
          <w:rFonts w:ascii="Roboto" w:eastAsia="Roboto" w:hAnsi="Roboto" w:cs="Roboto"/>
          <w:sz w:val="22"/>
          <w:szCs w:val="22"/>
        </w:rPr>
        <w:t xml:space="preserve"> i </w:t>
      </w:r>
      <w:proofErr w:type="spellStart"/>
      <w:r>
        <w:rPr>
          <w:rFonts w:ascii="Roboto" w:eastAsia="Roboto" w:hAnsi="Roboto" w:cs="Roboto"/>
          <w:sz w:val="22"/>
          <w:szCs w:val="22"/>
        </w:rPr>
        <w:t>Politècnic</w:t>
      </w:r>
      <w:proofErr w:type="spellEnd"/>
      <w:r>
        <w:rPr>
          <w:rFonts w:ascii="Roboto" w:eastAsia="Roboto" w:hAnsi="Roboto" w:cs="Roboto"/>
          <w:sz w:val="22"/>
          <w:szCs w:val="22"/>
        </w:rPr>
        <w:t xml:space="preserve"> La Fe de Valencia ha obtenido la acreditación de ENAC</w:t>
      </w:r>
      <w:sdt>
        <w:sdtPr>
          <w:tag w:val="goog_rdk_0"/>
          <w:id w:val="-2929204"/>
        </w:sdtPr>
        <w:sdtContent>
          <w:r>
            <w:rPr>
              <w:rFonts w:ascii="Roboto" w:eastAsia="Roboto" w:hAnsi="Roboto" w:cs="Roboto"/>
              <w:sz w:val="22"/>
              <w:szCs w:val="22"/>
            </w:rPr>
            <w:t xml:space="preserve">, la </w:t>
          </w:r>
          <w:hyperlink r:id="rId11" w:history="1">
            <w:r>
              <w:rPr>
                <w:rFonts w:ascii="Roboto" w:eastAsia="Roboto" w:hAnsi="Roboto" w:cs="Roboto"/>
                <w:color w:val="1155CC"/>
                <w:sz w:val="22"/>
                <w:szCs w:val="22"/>
                <w:u w:val="single"/>
              </w:rPr>
              <w:t>Entidad Nacional de Acreditación,</w:t>
            </w:r>
          </w:hyperlink>
        </w:sdtContent>
      </w:sdt>
      <w:r>
        <w:rPr>
          <w:rFonts w:ascii="Roboto" w:eastAsia="Roboto" w:hAnsi="Roboto" w:cs="Roboto"/>
          <w:sz w:val="22"/>
          <w:szCs w:val="22"/>
        </w:rPr>
        <w:t xml:space="preserve"> conforme a la norma UNE-EN ISO 20387, la norma internacional que establece los requisitos de competencia técnica y gestión para los biobancos.</w:t>
      </w:r>
    </w:p>
    <w:p w14:paraId="50E14C68" w14:textId="77777777" w:rsidR="003A1A1F" w:rsidRDefault="003A1A1F">
      <w:pPr>
        <w:jc w:val="both"/>
        <w:rPr>
          <w:rFonts w:ascii="Roboto" w:eastAsia="Roboto" w:hAnsi="Roboto" w:cs="Roboto"/>
          <w:sz w:val="22"/>
          <w:szCs w:val="22"/>
        </w:rPr>
      </w:pPr>
    </w:p>
    <w:p w14:paraId="6E3D052D" w14:textId="77777777" w:rsidR="003A1A1F" w:rsidRDefault="00000000">
      <w:pPr>
        <w:spacing w:after="160"/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En concreto, el alcance de la acreditación del Biobanco La Fe abarca las actividades de adquisición, preparación y preservación, control de calidad, almacenamiento, distribución y transporte de diferentes tipos de muestras biológicas humanas y sus derivados, entre ellas sangre periférica, médula ósea, líquido cefalorraquídeo, orina y heces, así como muestras de plasma, suero, ADN genómico y lisados celulares.</w:t>
      </w:r>
    </w:p>
    <w:p w14:paraId="35FC6F8E" w14:textId="77777777" w:rsidR="003A1A1F" w:rsidRDefault="00000000">
      <w:pPr>
        <w:spacing w:after="160"/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Con esta nueva acreditación, continúa avanzando la implantación en España de este esquema de acreditación específico para biobancos, </w:t>
      </w:r>
      <w:r>
        <w:rPr>
          <w:rFonts w:ascii="Roboto" w:eastAsia="Roboto" w:hAnsi="Roboto" w:cs="Roboto"/>
          <w:b/>
          <w:bCs/>
          <w:sz w:val="22"/>
          <w:szCs w:val="22"/>
        </w:rPr>
        <w:t>una herramienta que aporta confianza a los investigadores sobre la calidad y competencia técnica con la que se gestionan las muestras biológicas destinadas a la investigación</w:t>
      </w:r>
      <w:r>
        <w:rPr>
          <w:rFonts w:ascii="Roboto" w:eastAsia="Roboto" w:hAnsi="Roboto" w:cs="Roboto"/>
          <w:sz w:val="22"/>
          <w:szCs w:val="22"/>
        </w:rPr>
        <w:t>.</w:t>
      </w:r>
    </w:p>
    <w:p w14:paraId="30507D1E" w14:textId="77777777" w:rsidR="003A1A1F" w:rsidRDefault="00000000">
      <w:pPr>
        <w:spacing w:after="160"/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La norma UNE-EN ISO 20387 permite demostrar que el biobanco dispone de personal competente, instalaciones adecuadas, procedimientos técnicamente validados y controles de calidad que garantizan la adecuada gestión de las muestras y de la información asociada a las mismas. De este modo, los investigadores pueden confiar en que el material biológico que reciben ha sido adquirido, procesado, conservado y distribuido bajo condiciones controladas y con plena trazabilidad.</w:t>
      </w:r>
    </w:p>
    <w:p w14:paraId="1ADCBC45" w14:textId="77777777" w:rsidR="003A1A1F" w:rsidRDefault="003A1A1F">
      <w:pPr>
        <w:jc w:val="both"/>
        <w:rPr>
          <w:rFonts w:ascii="Roboto" w:eastAsia="Roboto" w:hAnsi="Roboto" w:cs="Roboto"/>
          <w:sz w:val="22"/>
          <w:szCs w:val="22"/>
          <w:highlight w:val="white"/>
        </w:rPr>
      </w:pPr>
    </w:p>
    <w:p w14:paraId="212F6AC6" w14:textId="77777777" w:rsidR="003A1A1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jc w:val="both"/>
        <w:rPr>
          <w:rFonts w:ascii="Roboto" w:eastAsia="Roboto" w:hAnsi="Roboto" w:cs="Roboto"/>
          <w:color w:val="E83544"/>
          <w:sz w:val="22"/>
          <w:szCs w:val="22"/>
        </w:rPr>
      </w:pPr>
      <w:r>
        <w:rPr>
          <w:rFonts w:ascii="Roboto" w:eastAsia="Roboto" w:hAnsi="Roboto" w:cs="Roboto"/>
          <w:b/>
          <w:bCs/>
          <w:color w:val="E83544"/>
          <w:sz w:val="22"/>
          <w:szCs w:val="22"/>
        </w:rPr>
        <w:t>Sobre ENAC</w:t>
      </w:r>
      <w:r>
        <w:rPr>
          <w:rFonts w:ascii="Roboto" w:eastAsia="Roboto" w:hAnsi="Roboto" w:cs="Roboto"/>
          <w:color w:val="E83544"/>
          <w:sz w:val="22"/>
          <w:szCs w:val="22"/>
        </w:rPr>
        <w:t xml:space="preserve"> </w:t>
      </w:r>
    </w:p>
    <w:p w14:paraId="33200140" w14:textId="77777777" w:rsidR="003A1A1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59" w:lineRule="auto"/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La Entidad Nacional de Acreditación – ENAC – es la entidad designada por el Gobierno para operar en España como el único Organismo Nacional de Acreditación, en aplicación del Reglamento (CE) nº765/2008 del Parlamento Europeo que regula el funcionamiento de la acreditación en Europa. </w:t>
      </w:r>
    </w:p>
    <w:p w14:paraId="6DDCCD7D" w14:textId="77777777" w:rsidR="003A1A1F" w:rsidRDefault="003A1A1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59" w:lineRule="auto"/>
        <w:jc w:val="both"/>
        <w:rPr>
          <w:rFonts w:ascii="Roboto" w:eastAsia="Roboto" w:hAnsi="Roboto" w:cs="Roboto"/>
          <w:sz w:val="22"/>
          <w:szCs w:val="22"/>
        </w:rPr>
      </w:pPr>
    </w:p>
    <w:p w14:paraId="4AC41B10" w14:textId="77777777" w:rsidR="003A1A1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59" w:lineRule="auto"/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ENAC tiene como misión generar confianza en el mercado y en la sociedad evaluando, a través de un sistema conforme a normas internacionales, la competencia técnica de laboratorios de ensayo o calibración, entidades de inspección, entidades de certificación y verificadores medioambientales que desarrollen su actividad en cualquier sector: industria,  energía, medio ambiente, sanidad, alimentación, investigación, desarrollo e innovación, transportes, telecomunicaciones, turismo, servicios, construcción, </w:t>
      </w:r>
      <w:r>
        <w:rPr>
          <w:rFonts w:ascii="Roboto" w:eastAsia="Roboto" w:hAnsi="Roboto" w:cs="Roboto"/>
          <w:sz w:val="22"/>
          <w:szCs w:val="22"/>
        </w:rPr>
        <w:lastRenderedPageBreak/>
        <w:t xml:space="preserve">etc. Contribuye, así, a la seguridad y el bienestar de las personas, la calidad de los productos y servicios, la protección del medioambiente y, con ello, al aumento de la competitividad de los productos y servicios españoles y a una disminución de los costes para la sociedad debidos a estas actividades.  </w:t>
      </w:r>
    </w:p>
    <w:p w14:paraId="604F08F5" w14:textId="77777777" w:rsidR="003A1A1F" w:rsidRDefault="003A1A1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59" w:lineRule="auto"/>
        <w:jc w:val="both"/>
        <w:rPr>
          <w:rFonts w:ascii="Roboto" w:eastAsia="Roboto" w:hAnsi="Roboto" w:cs="Roboto"/>
          <w:sz w:val="22"/>
          <w:szCs w:val="22"/>
        </w:rPr>
      </w:pPr>
    </w:p>
    <w:p w14:paraId="5317782B" w14:textId="77777777" w:rsidR="003A1A1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59" w:lineRule="auto"/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La marca ENAC es la manera de distinguir si un certificado o informe está acreditado o no. Aporta confianza en que la organización que lo emite es técnicamente competente para llevar a cabo la tarea que realiza, y lo es tanto en España como en los 120 países en los que la marca de ENAC es reconocida y aceptada gracias a los acuerdos de reconocimiento que ENAC ha suscrito con las entidades de acreditación de esos países. </w:t>
      </w:r>
    </w:p>
    <w:p w14:paraId="4669E94E" w14:textId="77777777" w:rsidR="003A1A1F" w:rsidRDefault="003A1A1F">
      <w:pPr>
        <w:jc w:val="both"/>
        <w:rPr>
          <w:rFonts w:ascii="Roboto" w:eastAsia="Roboto" w:hAnsi="Roboto" w:cs="Roboto"/>
          <w:sz w:val="22"/>
          <w:szCs w:val="22"/>
        </w:rPr>
      </w:pPr>
    </w:p>
    <w:p w14:paraId="68282D73" w14:textId="77777777" w:rsidR="003A1A1F" w:rsidRDefault="00000000">
      <w:pPr>
        <w:pBdr>
          <w:bottom w:val="single" w:sz="12" w:space="1" w:color="000000"/>
        </w:pBdr>
        <w:jc w:val="both"/>
        <w:rPr>
          <w:rFonts w:ascii="Roboto" w:eastAsia="Roboto" w:hAnsi="Roboto" w:cs="Roboto"/>
          <w:color w:val="E83544"/>
          <w:sz w:val="22"/>
          <w:szCs w:val="22"/>
        </w:rPr>
      </w:pPr>
      <w:hyperlink r:id="rId12">
        <w:r>
          <w:rPr>
            <w:rFonts w:ascii="Roboto" w:eastAsia="Roboto" w:hAnsi="Roboto" w:cs="Roboto"/>
            <w:color w:val="E83544"/>
            <w:sz w:val="22"/>
            <w:szCs w:val="22"/>
            <w:u w:val="single"/>
          </w:rPr>
          <w:t>www.enac.es</w:t>
        </w:r>
      </w:hyperlink>
      <w:r>
        <w:rPr>
          <w:rFonts w:ascii="Roboto" w:eastAsia="Roboto" w:hAnsi="Roboto" w:cs="Roboto"/>
          <w:color w:val="E83544"/>
          <w:sz w:val="22"/>
          <w:szCs w:val="22"/>
        </w:rPr>
        <w:t xml:space="preserve"> </w:t>
      </w:r>
    </w:p>
    <w:p w14:paraId="686485FE" w14:textId="77777777" w:rsidR="003A1A1F" w:rsidRDefault="003A1A1F">
      <w:pPr>
        <w:pBdr>
          <w:bottom w:val="single" w:sz="12" w:space="1" w:color="000000"/>
        </w:pBdr>
        <w:jc w:val="both"/>
        <w:rPr>
          <w:rFonts w:ascii="Roboto" w:eastAsia="Roboto" w:hAnsi="Roboto" w:cs="Roboto"/>
          <w:color w:val="E83544"/>
          <w:sz w:val="22"/>
          <w:szCs w:val="22"/>
        </w:rPr>
      </w:pPr>
    </w:p>
    <w:p w14:paraId="73754CB8" w14:textId="77777777" w:rsidR="003A1A1F" w:rsidRDefault="00000000">
      <w:pPr>
        <w:pBdr>
          <w:bottom w:val="single" w:sz="12" w:space="1" w:color="000000"/>
        </w:pBdr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color w:val="0000FF"/>
          <w:sz w:val="22"/>
          <w:szCs w:val="22"/>
        </w:rPr>
        <w:t xml:space="preserve">  </w:t>
      </w:r>
      <w:r>
        <w:rPr>
          <w:rFonts w:ascii="Roboto" w:eastAsia="Roboto" w:hAnsi="Roboto" w:cs="Roboto"/>
          <w:noProof/>
          <w:color w:val="0000FF"/>
          <w:sz w:val="22"/>
          <w:szCs w:val="22"/>
        </w:rPr>
        <w:drawing>
          <wp:inline distT="0" distB="0" distL="0" distR="0" wp14:anchorId="77C98D5B" wp14:editId="0A40CBB5">
            <wp:extent cx="304800" cy="304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0D1AD0" w14:textId="77777777" w:rsidR="003A1A1F" w:rsidRDefault="003A1A1F">
      <w:pPr>
        <w:pBdr>
          <w:bottom w:val="single" w:sz="12" w:space="1" w:color="000000"/>
        </w:pBdr>
        <w:jc w:val="both"/>
        <w:rPr>
          <w:rFonts w:ascii="Roboto" w:eastAsia="Roboto" w:hAnsi="Roboto" w:cs="Roboto"/>
          <w:color w:val="E83544"/>
          <w:sz w:val="22"/>
          <w:szCs w:val="22"/>
        </w:rPr>
      </w:pPr>
    </w:p>
    <w:p w14:paraId="6FCA9406" w14:textId="77777777" w:rsidR="003A1A1F" w:rsidRDefault="003A1A1F">
      <w:pPr>
        <w:jc w:val="both"/>
        <w:rPr>
          <w:rFonts w:ascii="Roboto" w:eastAsia="Roboto" w:hAnsi="Roboto" w:cs="Roboto"/>
          <w:color w:val="E83544"/>
          <w:sz w:val="22"/>
          <w:szCs w:val="22"/>
        </w:rPr>
      </w:pPr>
    </w:p>
    <w:p w14:paraId="499D8AC3" w14:textId="77777777" w:rsidR="003A1A1F" w:rsidRDefault="00000000">
      <w:pPr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Para más información sobre la nota de prensa, resolver dudas o gestionar entrevistas</w:t>
      </w:r>
    </w:p>
    <w:p w14:paraId="3BE139ED" w14:textId="77777777" w:rsidR="003A1A1F" w:rsidRDefault="00000000">
      <w:pPr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Eva Martín</w:t>
      </w:r>
    </w:p>
    <w:p w14:paraId="4A77FFD4" w14:textId="77777777" w:rsidR="003A1A1F" w:rsidRDefault="00000000">
      <w:pPr>
        <w:jc w:val="both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Tfno. 628 17 49 01 / </w:t>
      </w:r>
      <w:r>
        <w:rPr>
          <w:rFonts w:ascii="Roboto" w:eastAsia="Roboto" w:hAnsi="Roboto" w:cs="Roboto"/>
          <w:color w:val="E83544"/>
          <w:sz w:val="22"/>
          <w:szCs w:val="22"/>
        </w:rPr>
        <w:t xml:space="preserve"> </w:t>
      </w:r>
      <w:hyperlink r:id="rId14">
        <w:r>
          <w:rPr>
            <w:rFonts w:ascii="Roboto" w:eastAsia="Roboto" w:hAnsi="Roboto" w:cs="Roboto"/>
            <w:color w:val="E83544"/>
            <w:sz w:val="22"/>
            <w:szCs w:val="22"/>
            <w:u w:val="single"/>
          </w:rPr>
          <w:t>evamc@varenga.es</w:t>
        </w:r>
      </w:hyperlink>
    </w:p>
    <w:p w14:paraId="789E53D6" w14:textId="77777777" w:rsidR="003A1A1F" w:rsidRDefault="003A1A1F"/>
    <w:p w14:paraId="6D032131" w14:textId="77777777" w:rsidR="003A1A1F" w:rsidRDefault="003A1A1F"/>
    <w:p w14:paraId="2C1D36BC" w14:textId="77777777" w:rsidR="003A1A1F" w:rsidRDefault="003A1A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highlight w:val="white"/>
        </w:rPr>
      </w:pPr>
    </w:p>
    <w:sectPr w:rsidR="003A1A1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701" w:bottom="127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A604" w14:textId="77777777" w:rsidR="00C759DC" w:rsidRDefault="00C759DC">
      <w:r>
        <w:separator/>
      </w:r>
    </w:p>
  </w:endnote>
  <w:endnote w:type="continuationSeparator" w:id="0">
    <w:p w14:paraId="4BABC43B" w14:textId="77777777" w:rsidR="00C759DC" w:rsidRDefault="00C7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ED225B9-20D0-48B9-AB03-CB6801A09744}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  <w:embedRegular r:id="rId2" w:fontKey="{E0D91BDC-9E6F-4B70-BA43-778B156816D4}"/>
    <w:embedBold r:id="rId3" w:fontKey="{F37ABD5A-0563-4E53-AD82-D603C3238B1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3CE2167-480C-41E0-8BA9-1F3DAD788D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2B193E9-8B3E-47A6-AEE2-D80DA4E1DE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0B99" w14:textId="77777777" w:rsidR="003A1A1F" w:rsidRDefault="003A1A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09FF" w14:textId="77777777" w:rsidR="003A1A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608A4">
      <w:rPr>
        <w:noProof/>
        <w:color w:val="000000"/>
      </w:rPr>
      <w:t>1</w:t>
    </w:r>
    <w:r>
      <w:rPr>
        <w:color w:val="000000"/>
      </w:rPr>
      <w:fldChar w:fldCharType="end"/>
    </w:r>
  </w:p>
  <w:p w14:paraId="38C24046" w14:textId="77777777" w:rsidR="003A1A1F" w:rsidRDefault="003A1A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217E0" w14:textId="77777777" w:rsidR="003A1A1F" w:rsidRDefault="003A1A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1D288" w14:textId="77777777" w:rsidR="00C759DC" w:rsidRDefault="00C759DC">
      <w:r>
        <w:separator/>
      </w:r>
    </w:p>
  </w:footnote>
  <w:footnote w:type="continuationSeparator" w:id="0">
    <w:p w14:paraId="2092D5C7" w14:textId="77777777" w:rsidR="00C759DC" w:rsidRDefault="00C7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C57C1" w14:textId="77777777" w:rsidR="003A1A1F" w:rsidRDefault="003A1A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12B9" w14:textId="77777777" w:rsidR="003A1A1F" w:rsidRDefault="00000000">
    <w:pPr>
      <w:spacing w:line="276" w:lineRule="auto"/>
    </w:pPr>
    <w:r>
      <w:t xml:space="preserve">                                                                  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46EDAD2D" wp14:editId="27196D5E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240365" cy="805879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0365" cy="805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158576B5" wp14:editId="3C27C323">
          <wp:simplePos x="0" y="0"/>
          <wp:positionH relativeFrom="column">
            <wp:posOffset>4152900</wp:posOffset>
          </wp:positionH>
          <wp:positionV relativeFrom="paragraph">
            <wp:posOffset>142875</wp:posOffset>
          </wp:positionV>
          <wp:extent cx="1157297" cy="684798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-8" b="-8"/>
                  <a:stretch>
                    <a:fillRect/>
                  </a:stretch>
                </pic:blipFill>
                <pic:spPr>
                  <a:xfrm>
                    <a:off x="0" y="0"/>
                    <a:ext cx="1157297" cy="684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100838" w14:textId="77777777" w:rsidR="003A1A1F" w:rsidRDefault="003A1A1F">
    <w:pPr>
      <w:spacing w:line="276" w:lineRule="auto"/>
    </w:pPr>
  </w:p>
  <w:p w14:paraId="02180AFD" w14:textId="77777777" w:rsidR="003A1A1F" w:rsidRDefault="003A1A1F">
    <w:pPr>
      <w:spacing w:line="276" w:lineRule="auto"/>
    </w:pPr>
  </w:p>
  <w:p w14:paraId="6F6A39B1" w14:textId="77777777" w:rsidR="003A1A1F" w:rsidRDefault="003A1A1F">
    <w:pPr>
      <w:spacing w:line="276" w:lineRule="auto"/>
    </w:pPr>
  </w:p>
  <w:p w14:paraId="5934221F" w14:textId="77777777" w:rsidR="003A1A1F" w:rsidRDefault="003A1A1F">
    <w:pPr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3AC9C" w14:textId="77777777" w:rsidR="003A1A1F" w:rsidRDefault="003A1A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C0662"/>
    <w:multiLevelType w:val="multilevel"/>
    <w:tmpl w:val="2C16AE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0459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A1F"/>
    <w:rsid w:val="002608A4"/>
    <w:rsid w:val="003A1A1F"/>
    <w:rsid w:val="00691CF0"/>
    <w:rsid w:val="00C7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1F11"/>
  <w15:docId w15:val="{AEE14E84-E580-4CBF-A264-32961B0E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enac.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ac.e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vamc@varenga.es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vMvKhCAWjngCNTiEytPn5Ds6Sg==">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290ce1-b2e7-4ccb-948d-a290ef611fa1">
      <Terms xmlns="http://schemas.microsoft.com/office/infopath/2007/PartnerControls"/>
    </lcf76f155ced4ddcb4097134ff3c332f>
    <TaxCatchAll xmlns="909e21e3-a2e2-47ca-be0e-9c3a9bef92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52DE15686E4843A3780C010A78B13A" ma:contentTypeVersion="16" ma:contentTypeDescription="Crear nuevo documento." ma:contentTypeScope="" ma:versionID="35b7714a55062d14d892f3522112704a">
  <xsd:schema xmlns:xsd="http://www.w3.org/2001/XMLSchema" xmlns:xs="http://www.w3.org/2001/XMLSchema" xmlns:p="http://schemas.microsoft.com/office/2006/metadata/properties" xmlns:ns2="6e290ce1-b2e7-4ccb-948d-a290ef611fa1" xmlns:ns3="909e21e3-a2e2-47ca-be0e-9c3a9bef9292" targetNamespace="http://schemas.microsoft.com/office/2006/metadata/properties" ma:root="true" ma:fieldsID="92a12215dc0792136b523b9589aa527d" ns2:_="" ns3:_="">
    <xsd:import namespace="6e290ce1-b2e7-4ccb-948d-a290ef611fa1"/>
    <xsd:import namespace="909e21e3-a2e2-47ca-be0e-9c3a9bef9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90ce1-b2e7-4ccb-948d-a290ef611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5c5079e-b5d9-4f40-8558-acc8d9d79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e21e3-a2e2-47ca-be0e-9c3a9bef9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6efcf77-0706-4f8e-b256-a6b4bd8b1840}" ma:internalName="TaxCatchAll" ma:showField="CatchAllData" ma:web="909e21e3-a2e2-47ca-be0e-9c3a9bef9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B50409-C919-4864-92C5-F04A5290CB5F}">
  <ds:schemaRefs>
    <ds:schemaRef ds:uri="http://schemas.microsoft.com/office/2006/metadata/properties"/>
    <ds:schemaRef ds:uri="http://schemas.microsoft.com/office/infopath/2007/PartnerControls"/>
    <ds:schemaRef ds:uri="6e290ce1-b2e7-4ccb-948d-a290ef611fa1"/>
    <ds:schemaRef ds:uri="909e21e3-a2e2-47ca-be0e-9c3a9bef9292"/>
  </ds:schemaRefs>
</ds:datastoreItem>
</file>

<file path=customXml/itemProps3.xml><?xml version="1.0" encoding="utf-8"?>
<ds:datastoreItem xmlns:ds="http://schemas.openxmlformats.org/officeDocument/2006/customXml" ds:itemID="{213BCA53-431C-49B6-A541-C8EA986389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DA1641-EE54-48FC-B1D2-59107D8F1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90ce1-b2e7-4ccb-948d-a290ef611fa1"/>
    <ds:schemaRef ds:uri="909e21e3-a2e2-47ca-be0e-9c3a9bef9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Lendinez Leal</cp:lastModifiedBy>
  <cp:revision>2</cp:revision>
  <dcterms:created xsi:type="dcterms:W3CDTF">2026-07-07T09:29:00Z</dcterms:created>
  <dcterms:modified xsi:type="dcterms:W3CDTF">2026-07-07T09:29:00Z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0x0101009152DE15686E4843A3780C010A78B13A</vt:lpwstr>
  </property>
  <property fmtid="{D5CDD505-2E9C-101B-9397-08002B2CF9AE}" pid="3" name="MediaServiceImageTags">
    <vt:lpwstr>MediaServiceImageTags</vt:lpwstr>
  </property>
</Properties>
</file>