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intelligence2.xml" ContentType="application/vnd.ms-office.intelligence2+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D355BD" w:rsidRDefault="00B54FEC" w14:paraId="1B544B7A" w14:textId="77777777">
      <w:pPr>
        <w:spacing w:line="276" w:lineRule="auto"/>
        <w:jc w:val="center"/>
        <w:rPr>
          <w:rFonts w:ascii="Roboto" w:hAnsi="Roboto" w:eastAsia="Roboto" w:cs="Roboto"/>
          <w:sz w:val="22"/>
          <w:szCs w:val="22"/>
        </w:rPr>
      </w:pPr>
      <w:r>
        <w:rPr>
          <w:rFonts w:ascii="Roboto" w:hAnsi="Roboto" w:eastAsia="Roboto" w:cs="Roboto"/>
          <w:b/>
          <w:bCs/>
          <w:sz w:val="40"/>
          <w:szCs w:val="40"/>
        </w:rPr>
        <w:t>NOTA DE PRENSA</w:t>
      </w:r>
      <w:r>
        <w:rPr>
          <w:rFonts w:ascii="Roboto" w:hAnsi="Roboto" w:eastAsia="Roboto" w:cs="Roboto"/>
          <w:sz w:val="22"/>
          <w:szCs w:val="22"/>
        </w:rPr>
        <w:t xml:space="preserve"> </w:t>
      </w:r>
    </w:p>
    <w:p w:rsidR="00D355BD" w:rsidRDefault="00D355BD" w14:paraId="1B544B7B" w14:textId="77777777">
      <w:pPr>
        <w:jc w:val="center"/>
        <w:rPr>
          <w:rFonts w:ascii="Roboto" w:hAnsi="Roboto" w:eastAsia="Roboto" w:cs="Roboto"/>
          <w:b/>
          <w:bCs/>
          <w:sz w:val="32"/>
          <w:szCs w:val="32"/>
        </w:rPr>
      </w:pPr>
    </w:p>
    <w:p w:rsidR="00D355BD" w:rsidP="1F65C392" w:rsidRDefault="00B54FEC" w14:paraId="1B544B7C" w14:textId="68FFFF9E">
      <w:pPr>
        <w:pStyle w:val="Normal"/>
        <w:jc w:val="center"/>
        <w:rPr>
          <w:rFonts w:ascii="Roboto" w:hAnsi="Roboto" w:eastAsia="Roboto" w:cs="Roboto"/>
          <w:b w:val="1"/>
          <w:bCs w:val="1"/>
          <w:i w:val="0"/>
          <w:iCs w:val="0"/>
          <w:strike w:val="0"/>
          <w:dstrike w:val="0"/>
          <w:noProof w:val="0"/>
          <w:color w:val="000000" w:themeColor="text1" w:themeTint="FF" w:themeShade="FF"/>
          <w:sz w:val="34"/>
          <w:szCs w:val="34"/>
          <w:u w:val="none"/>
          <w:lang w:val="es"/>
        </w:rPr>
      </w:pPr>
      <w:r w:rsidRPr="1F65C392" w:rsidR="4714AABE">
        <w:rPr>
          <w:rFonts w:ascii="Roboto" w:hAnsi="Roboto" w:eastAsia="Roboto" w:cs="Roboto"/>
          <w:b w:val="1"/>
          <w:bCs w:val="1"/>
          <w:i w:val="0"/>
          <w:iCs w:val="0"/>
          <w:strike w:val="0"/>
          <w:dstrike w:val="0"/>
          <w:noProof w:val="0"/>
          <w:color w:val="000000" w:themeColor="text1" w:themeTint="FF" w:themeShade="FF"/>
          <w:sz w:val="34"/>
          <w:szCs w:val="34"/>
          <w:u w:val="none"/>
          <w:lang w:val="es"/>
        </w:rPr>
        <w:t xml:space="preserve"> La acreditación, uno de los pilares que impulsan la competitividad y la internacionalización empresarial, según el Banco Mundial</w:t>
      </w:r>
    </w:p>
    <w:p w:rsidR="7F983C37" w:rsidP="7F983C37" w:rsidRDefault="7F983C37" w14:paraId="74E17A88" w14:textId="1A6CDF8B">
      <w:pPr>
        <w:jc w:val="center"/>
        <w:rPr>
          <w:rFonts w:ascii="Roboto" w:hAnsi="Roboto" w:eastAsia="Roboto" w:cs="Roboto"/>
          <w:b w:val="1"/>
          <w:bCs w:val="1"/>
          <w:sz w:val="26"/>
          <w:szCs w:val="26"/>
        </w:rPr>
      </w:pPr>
    </w:p>
    <w:p w:rsidR="00D355BD" w:rsidRDefault="00B54FEC" w14:paraId="1B544B7E" w14:textId="77777777">
      <w:pPr>
        <w:numPr>
          <w:ilvl w:val="0"/>
          <w:numId w:val="1"/>
        </w:numPr>
        <w:jc w:val="both"/>
        <w:rPr>
          <w:rFonts w:ascii="Roboto" w:hAnsi="Roboto" w:eastAsia="Roboto" w:cs="Roboto"/>
          <w:b/>
          <w:bCs/>
          <w:sz w:val="20"/>
          <w:szCs w:val="20"/>
        </w:rPr>
      </w:pPr>
      <w:r>
        <w:rPr>
          <w:rFonts w:ascii="Roboto" w:hAnsi="Roboto" w:eastAsia="Roboto" w:cs="Roboto"/>
          <w:b/>
          <w:bCs/>
          <w:sz w:val="20"/>
          <w:szCs w:val="20"/>
        </w:rPr>
        <w:t>En un reciente informe, el organismo internacional resalta que, actualmente, la mayoría de las barreras comerciales ya no son financieras sino técnicas, y subraya que “</w:t>
      </w:r>
      <w:r>
        <w:rPr>
          <w:rFonts w:ascii="Roboto" w:hAnsi="Roboto" w:eastAsia="Roboto" w:cs="Roboto"/>
          <w:b/>
          <w:bCs/>
          <w:i/>
          <w:iCs/>
          <w:sz w:val="20"/>
          <w:szCs w:val="20"/>
        </w:rPr>
        <w:t>los países con sistemas de infraestructura de la calidad más sólidos —con sistemas de acreditación reconocidos internacionalmente— tienden a comerciar más y a integrarse con mayor facilidad en las cadenas de valor globales</w:t>
      </w:r>
      <w:r>
        <w:rPr>
          <w:rFonts w:ascii="Roboto" w:hAnsi="Roboto" w:eastAsia="Roboto" w:cs="Roboto"/>
          <w:b/>
          <w:bCs/>
          <w:sz w:val="20"/>
          <w:szCs w:val="20"/>
        </w:rPr>
        <w:t>”</w:t>
      </w:r>
      <w:r>
        <w:rPr>
          <w:rFonts w:ascii="Roboto" w:hAnsi="Roboto" w:eastAsia="Roboto" w:cs="Roboto"/>
          <w:b/>
          <w:bCs/>
          <w:i/>
          <w:iCs/>
          <w:sz w:val="20"/>
          <w:szCs w:val="20"/>
        </w:rPr>
        <w:t xml:space="preserve"> </w:t>
      </w:r>
    </w:p>
    <w:p w:rsidR="00D355BD" w:rsidRDefault="00D355BD" w14:paraId="1B544B7F" w14:textId="77777777">
      <w:pPr>
        <w:ind w:left="720"/>
        <w:jc w:val="both"/>
        <w:rPr>
          <w:rFonts w:ascii="Roboto" w:hAnsi="Roboto" w:eastAsia="Roboto" w:cs="Roboto"/>
          <w:b/>
          <w:bCs/>
          <w:i/>
          <w:iCs/>
          <w:sz w:val="20"/>
          <w:szCs w:val="20"/>
        </w:rPr>
      </w:pPr>
    </w:p>
    <w:p w:rsidR="00D355BD" w:rsidRDefault="00B54FEC" w14:paraId="1B544B80" w14:textId="77777777">
      <w:pPr>
        <w:numPr>
          <w:ilvl w:val="0"/>
          <w:numId w:val="1"/>
        </w:numPr>
        <w:jc w:val="both"/>
        <w:rPr>
          <w:rFonts w:ascii="Roboto" w:hAnsi="Roboto" w:eastAsia="Roboto" w:cs="Roboto"/>
          <w:b/>
          <w:bCs/>
          <w:i/>
          <w:iCs/>
          <w:sz w:val="18"/>
          <w:szCs w:val="18"/>
        </w:rPr>
      </w:pPr>
      <w:r>
        <w:rPr>
          <w:rFonts w:ascii="Roboto" w:hAnsi="Roboto" w:eastAsia="Roboto" w:cs="Roboto"/>
          <w:b/>
          <w:bCs/>
          <w:sz w:val="20"/>
          <w:szCs w:val="20"/>
        </w:rPr>
        <w:t xml:space="preserve">Disponer de resultados fiables y aceptados internacionalmente es esencial para exportadores, reguladores y compradores ya que, hoy día, los requisitos relacionados con actividades de evaluación afectan a casi el 90% del comercio mundial. </w:t>
      </w:r>
    </w:p>
    <w:p w:rsidR="00D355BD" w:rsidRDefault="00B54FEC" w14:paraId="1B544B81"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jc w:val="both"/>
        <w:rPr>
          <w:rFonts w:ascii="Roboto" w:hAnsi="Roboto" w:eastAsia="Roboto" w:cs="Roboto"/>
          <w:b/>
          <w:bCs/>
          <w:sz w:val="22"/>
          <w:szCs w:val="22"/>
        </w:rPr>
      </w:pPr>
      <w:r>
        <w:rPr>
          <w:rFonts w:ascii="Roboto" w:hAnsi="Roboto" w:eastAsia="Roboto" w:cs="Roboto"/>
          <w:b/>
          <w:bCs/>
          <w:sz w:val="22"/>
          <w:szCs w:val="22"/>
        </w:rPr>
        <w:t xml:space="preserve">  </w:t>
      </w:r>
    </w:p>
    <w:p w:rsidR="00D355BD" w:rsidP="1F65C392" w:rsidRDefault="00B54FEC" w14:paraId="1B544B82" w14:textId="62ADA25D">
      <w:pPr>
        <w:pStyle w:val="Normal"/>
        <w:jc w:val="both"/>
      </w:pPr>
      <w:r w:rsidRPr="1F65C392" w:rsidR="00B54FEC">
        <w:rPr>
          <w:rFonts w:ascii="Roboto" w:hAnsi="Roboto" w:eastAsia="Roboto" w:cs="Roboto"/>
          <w:sz w:val="22"/>
          <w:szCs w:val="22"/>
          <w:lang w:val="es-ES"/>
        </w:rPr>
        <w:t>Madrid, 0</w:t>
      </w:r>
      <w:r w:rsidRPr="1F65C392" w:rsidR="162043E3">
        <w:rPr>
          <w:rFonts w:ascii="Roboto" w:hAnsi="Roboto" w:eastAsia="Roboto" w:cs="Roboto"/>
          <w:sz w:val="22"/>
          <w:szCs w:val="22"/>
          <w:lang w:val="es-ES"/>
        </w:rPr>
        <w:t>7</w:t>
      </w:r>
      <w:r w:rsidRPr="1F65C392" w:rsidR="00B54FEC">
        <w:rPr>
          <w:rFonts w:ascii="Roboto" w:hAnsi="Roboto" w:eastAsia="Roboto" w:cs="Roboto"/>
          <w:sz w:val="22"/>
          <w:szCs w:val="22"/>
          <w:lang w:val="es-ES"/>
        </w:rPr>
        <w:t xml:space="preserve"> de mayo de 2026.- </w:t>
      </w:r>
      <w:sdt>
        <w:sdtPr>
          <w:id w:val="-486392050"/>
          <w:tag w:val="goog_rdk_0"/>
          <w:placeholder>
            <w:docPart w:val="DefaultPlaceholder_1081868574"/>
          </w:placeholder>
        </w:sdtPr>
        <w:sdtContent>
          <w:sdt>
            <w:sdtPr>
              <w:id w:val="-117918360"/>
              <w:tag w:val="goog_rdk_1"/>
              <w:placeholder>
                <w:docPart w:val="DefaultPlaceholder_1081868574"/>
              </w:placeholder>
            </w:sdtPr>
            <w:sdtContent>
              <w:r w:rsidRPr="1F65C392" w:rsidR="00B54FEC">
                <w:rPr>
                  <w:rFonts w:ascii="Roboto" w:hAnsi="Roboto" w:eastAsia="Roboto" w:cs="Roboto"/>
                  <w:sz w:val="22"/>
                  <w:szCs w:val="22"/>
                  <w:lang w:val="es-ES"/>
                </w:rPr>
                <w:t xml:space="preserve">El reciente informe </w:t>
              </w:r>
            </w:sdtContent>
          </w:sdt>
          <w:hyperlink r:id="Rf29b9715c9e44a0f">
            <w:r w:rsidRPr="1F65C392" w:rsidR="00B54FEC">
              <w:rPr>
                <w:rFonts w:ascii="Roboto" w:hAnsi="Roboto" w:eastAsia="Roboto" w:cs="Roboto"/>
                <w:i w:val="1"/>
                <w:iCs w:val="1"/>
                <w:color w:val="1155CC"/>
                <w:sz w:val="22"/>
                <w:szCs w:val="22"/>
                <w:u w:val="single"/>
                <w:lang w:val="es-ES"/>
              </w:rPr>
              <w:t xml:space="preserve">World Development Report </w:t>
            </w:r>
          </w:hyperlink>
          <w:sdt>
            <w:sdtPr>
              <w:id w:val="-137626195"/>
              <w:tag w:val="goog_rdk_2"/>
              <w:placeholder>
                <w:docPart w:val="DefaultPlaceholder_1081868574"/>
              </w:placeholder>
            </w:sdtPr>
            <w:sdtContent>
              <w:r w:rsidRPr="1F65C392" w:rsidR="00B54FEC">
                <w:rPr>
                  <w:rFonts w:ascii="Roboto" w:hAnsi="Roboto" w:eastAsia="Roboto" w:cs="Roboto"/>
                  <w:sz w:val="22"/>
                  <w:szCs w:val="22"/>
                  <w:lang w:val="es-ES"/>
                </w:rPr>
                <w:t xml:space="preserve">del Banco Mundial subraya </w:t>
              </w:r>
              <w:r w:rsidRPr="1F65C392" w:rsidR="7D9057C6">
                <w:rPr>
                  <w:rFonts w:ascii="Roboto" w:hAnsi="Roboto" w:eastAsia="Roboto" w:cs="Roboto"/>
                  <w:b w:val="0"/>
                  <w:bCs w:val="0"/>
                  <w:i w:val="0"/>
                  <w:iCs w:val="0"/>
                  <w:strike w:val="0"/>
                  <w:dstrike w:val="0"/>
                  <w:noProof w:val="0"/>
                  <w:color w:val="000000" w:themeColor="text1" w:themeTint="FF" w:themeShade="FF"/>
                  <w:sz w:val="22"/>
                  <w:szCs w:val="22"/>
                  <w:u w:val="none"/>
                  <w:lang w:val="es-ES"/>
                </w:rPr>
                <w:t xml:space="preserve">cómo la acreditación y la infraestructura de la calidad se han convertido en uno de los pilares menos visibles, pero más determinantes para el buen funcionamiento de las economías modernas, favoreciendo desde el impulso a las exportaciones y la protección de los consumidores hasta el fomento de la innovación y la sostenibilidad medioambiental. </w:t>
              </w:r>
              <w:r w:rsidRPr="1F65C392" w:rsidR="7D9057C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s-ES"/>
                </w:rPr>
                <w:t xml:space="preserve"> </w:t>
              </w:r>
              <w:r w:rsidRPr="1F65C392" w:rsidR="7D9057C6">
                <w:rPr>
                  <w:rFonts w:ascii="Roboto" w:hAnsi="Roboto" w:eastAsia="Roboto" w:cs="Roboto"/>
                  <w:b w:val="0"/>
                  <w:bCs w:val="0"/>
                  <w:i w:val="0"/>
                  <w:iCs w:val="0"/>
                  <w:strike w:val="0"/>
                  <w:dstrike w:val="0"/>
                  <w:noProof w:val="0"/>
                  <w:color w:val="000000" w:themeColor="text1" w:themeTint="FF" w:themeShade="FF"/>
                  <w:sz w:val="22"/>
                  <w:szCs w:val="22"/>
                  <w:u w:val="none"/>
                  <w:lang w:val="es-ES"/>
                </w:rPr>
                <w:t xml:space="preserve">Además, resalta su contribución a la eficacia de las políticas públicas a través de la simplificación administrativa.   </w:t>
              </w:r>
            </w:sdtContent>
          </w:sdt>
        </w:sdtContent>
      </w:sdt>
      <w:customXmlInsRangeStart w:author="Eva Martín" w:date="2026-04-30T14:05:00Z" w:id="3"/>
      <w:customXmlInsRangeEnd w:id="3"/>
      <w:customXmlInsRangeStart w:author="Eva Martín" w:date="2026-04-30T14:05:00Z" w:id="8"/>
      <w:customXmlInsRangeEnd w:id="8"/>
      <w:customXmlDelRangeStart w:author="Eva Martín" w:date="2026-04-30T14:05:00Z" w:id="11"/>
      <w:customXmlDelRangeEnd w:id="11"/>
      <w:customXmlDelRangeStart w:author="Eva Martín" w:date="2026-04-30T14:05:00Z" w:id="13"/>
      <w:customXmlDelRangeEnd w:id="13"/>
      <w:customXmlDelRangeStart w:author="Eva Martín" w:date="2026-04-30T14:05:00Z" w:id="14"/>
      <w:customXmlDelRangeEnd w:id="14"/>
      <w:customXmlDelRangeStart w:author="Eva Martín" w:date="2026-04-30T14:05:00Z" w:id="16"/>
      <w:customXmlDelRangeEnd w:id="16"/>
    </w:p>
    <w:p w:rsidR="00D355BD" w:rsidRDefault="00D355BD" w14:paraId="1B544B83" w14:textId="77777777">
      <w:pPr>
        <w:jc w:val="both"/>
        <w:rPr>
          <w:rFonts w:ascii="Roboto" w:hAnsi="Roboto" w:eastAsia="Roboto" w:cs="Roboto"/>
          <w:sz w:val="22"/>
          <w:szCs w:val="22"/>
        </w:rPr>
      </w:pPr>
    </w:p>
    <w:p w:rsidR="7D9057C6" w:rsidP="1F65C392" w:rsidRDefault="7D9057C6" w14:paraId="735EC725" w14:textId="3CB9A70F">
      <w:pPr>
        <w:spacing w:before="0" w:beforeAutospacing="off" w:after="0" w:afterAutospacing="off"/>
        <w:jc w:val="both"/>
      </w:pPr>
      <w:r w:rsidRPr="1F65C392" w:rsidR="7D9057C6">
        <w:rPr>
          <w:rFonts w:ascii="Roboto" w:hAnsi="Roboto" w:eastAsia="Roboto" w:cs="Roboto"/>
          <w:b w:val="0"/>
          <w:bCs w:val="0"/>
          <w:i w:val="0"/>
          <w:iCs w:val="0"/>
          <w:strike w:val="0"/>
          <w:dstrike w:val="0"/>
          <w:noProof w:val="0"/>
          <w:color w:val="000000" w:themeColor="text1" w:themeTint="FF" w:themeShade="FF"/>
          <w:sz w:val="22"/>
          <w:szCs w:val="22"/>
          <w:u w:val="none"/>
          <w:lang w:val="es"/>
        </w:rPr>
        <w:t>El documento del organismo internacional señala que la mayoría de las barreras comerciales modernas ya no son financieras, sino técnicas y destaca que el funcionamiento eficaz de los mercados se basa en la confianza que aporta sobre que los productos y servicios cumplen con requisitos relacionados con la seguridad, la calidad, la salud o la protección del medio ambiente, entre otros.</w:t>
      </w:r>
    </w:p>
    <w:p w:rsidR="1F65C392" w:rsidP="1F65C392" w:rsidRDefault="1F65C392" w14:paraId="608E0CCA" w14:textId="1B0B0A8F">
      <w:pPr>
        <w:jc w:val="both"/>
      </w:pPr>
    </w:p>
    <w:p w:rsidR="162203E8" w:rsidP="1F65C392" w:rsidRDefault="162203E8" w14:paraId="52B305C3" w14:textId="54C91F17">
      <w:pPr>
        <w:spacing w:before="0" w:beforeAutospacing="off" w:after="0" w:afterAutospacing="off"/>
        <w:jc w:val="both"/>
      </w:pPr>
      <w:r w:rsidRPr="1F65C392" w:rsidR="162203E8">
        <w:rPr>
          <w:rFonts w:ascii="Roboto" w:hAnsi="Roboto" w:eastAsia="Roboto" w:cs="Roboto"/>
          <w:b w:val="0"/>
          <w:bCs w:val="0"/>
          <w:i w:val="0"/>
          <w:iCs w:val="0"/>
          <w:strike w:val="0"/>
          <w:dstrike w:val="0"/>
          <w:noProof w:val="0"/>
          <w:color w:val="000000" w:themeColor="text1" w:themeTint="FF" w:themeShade="FF"/>
          <w:sz w:val="22"/>
          <w:szCs w:val="22"/>
          <w:u w:val="none"/>
          <w:lang w:val="es-ES"/>
        </w:rPr>
        <w:t xml:space="preserve">Así, </w:t>
      </w:r>
      <w:r w:rsidRPr="1F65C392" w:rsidR="162203E8">
        <w:rPr>
          <w:rFonts w:ascii="Roboto" w:hAnsi="Roboto" w:eastAsia="Roboto" w:cs="Roboto"/>
          <w:b w:val="1"/>
          <w:bCs w:val="1"/>
          <w:i w:val="0"/>
          <w:iCs w:val="0"/>
          <w:strike w:val="0"/>
          <w:dstrike w:val="0"/>
          <w:noProof w:val="0"/>
          <w:color w:val="000000" w:themeColor="text1" w:themeTint="FF" w:themeShade="FF"/>
          <w:sz w:val="22"/>
          <w:szCs w:val="22"/>
          <w:u w:val="none"/>
          <w:lang w:val="es-ES"/>
        </w:rPr>
        <w:t xml:space="preserve">los requisitos relacionados con actividades de evaluación, como ensayos, inspecciones, certificaciones o verificaciones, afectan hoy a casi el 90 % del comercio mundial, </w:t>
      </w:r>
      <w:r w:rsidRPr="1F65C392" w:rsidR="162203E8">
        <w:rPr>
          <w:rFonts w:ascii="Roboto" w:hAnsi="Roboto" w:eastAsia="Roboto" w:cs="Roboto"/>
          <w:b w:val="0"/>
          <w:bCs w:val="0"/>
          <w:i w:val="0"/>
          <w:iCs w:val="0"/>
          <w:strike w:val="0"/>
          <w:dstrike w:val="0"/>
          <w:noProof w:val="0"/>
          <w:color w:val="000000" w:themeColor="text1" w:themeTint="FF" w:themeShade="FF"/>
          <w:sz w:val="22"/>
          <w:szCs w:val="22"/>
          <w:u w:val="none"/>
          <w:lang w:val="es-ES"/>
        </w:rPr>
        <w:t>por lo que disponer de resultados fiables y aceptados internacionalmente es esencial para exportadores, reguladores y compradores. “</w:t>
      </w:r>
      <w:r w:rsidRPr="1F65C392" w:rsidR="162203E8">
        <w:rPr>
          <w:rFonts w:ascii="Roboto" w:hAnsi="Roboto" w:eastAsia="Roboto" w:cs="Roboto"/>
          <w:b w:val="0"/>
          <w:bCs w:val="0"/>
          <w:i w:val="1"/>
          <w:iCs w:val="1"/>
          <w:strike w:val="0"/>
          <w:dstrike w:val="0"/>
          <w:noProof w:val="0"/>
          <w:color w:val="000000" w:themeColor="text1" w:themeTint="FF" w:themeShade="FF"/>
          <w:sz w:val="22"/>
          <w:szCs w:val="22"/>
          <w:u w:val="none"/>
          <w:lang w:val="es-ES"/>
        </w:rPr>
        <w:t>Cuando las normas funcionan, generan confianza. Permiten que las personas y las empresas se centren en crear, comerciar e innovar. Cuando las normas fallan, los efectos son inmediatos y perjudiciales.</w:t>
      </w:r>
      <w:r w:rsidRPr="1F65C392" w:rsidR="162203E8">
        <w:rPr>
          <w:rFonts w:ascii="Roboto" w:hAnsi="Roboto" w:eastAsia="Roboto" w:cs="Roboto"/>
          <w:b w:val="0"/>
          <w:bCs w:val="0"/>
          <w:i w:val="0"/>
          <w:iCs w:val="0"/>
          <w:strike w:val="0"/>
          <w:dstrike w:val="0"/>
          <w:noProof w:val="0"/>
          <w:color w:val="000000" w:themeColor="text1" w:themeTint="FF" w:themeShade="FF"/>
          <w:sz w:val="22"/>
          <w:szCs w:val="22"/>
          <w:u w:val="none"/>
          <w:lang w:val="es-ES"/>
        </w:rPr>
        <w:t>”, señala el organismo internacional.</w:t>
      </w:r>
    </w:p>
    <w:p w:rsidR="1F65C392" w:rsidP="1F65C392" w:rsidRDefault="1F65C392" w14:paraId="3DEE5329" w14:textId="025FE8D7">
      <w:pPr>
        <w:jc w:val="both"/>
      </w:pPr>
    </w:p>
    <w:p w:rsidR="162203E8" w:rsidP="1F65C392" w:rsidRDefault="162203E8" w14:paraId="649E2254" w14:textId="15BC68D0">
      <w:pPr>
        <w:pStyle w:val="Normal"/>
        <w:jc w:val="both"/>
        <w:rPr>
          <w:rFonts w:ascii="Roboto" w:hAnsi="Roboto" w:eastAsia="Roboto" w:cs="Roboto"/>
          <w:noProof w:val="0"/>
          <w:sz w:val="22"/>
          <w:szCs w:val="22"/>
          <w:lang w:val="es-ES"/>
        </w:rPr>
      </w:pPr>
      <w:r w:rsidRPr="1F65C392" w:rsidR="162203E8">
        <w:rPr>
          <w:rFonts w:ascii="Roboto" w:hAnsi="Roboto" w:eastAsia="Roboto" w:cs="Roboto"/>
          <w:b w:val="0"/>
          <w:bCs w:val="0"/>
          <w:i w:val="0"/>
          <w:iCs w:val="0"/>
          <w:strike w:val="0"/>
          <w:dstrike w:val="0"/>
          <w:noProof w:val="0"/>
          <w:color w:val="000000" w:themeColor="text1" w:themeTint="FF" w:themeShade="FF"/>
          <w:sz w:val="22"/>
          <w:szCs w:val="22"/>
          <w:u w:val="none"/>
          <w:lang w:val="es-ES"/>
        </w:rPr>
        <w:t>En este contexto apunta que la acreditación, actividad que en España desarrolla ENAC, la</w:t>
      </w:r>
      <w:hyperlink r:id="R6058dbccd9374087">
        <w:r w:rsidRPr="1F65C392" w:rsidR="162203E8">
          <w:rPr>
            <w:rStyle w:val="Hyperlink"/>
            <w:rFonts w:ascii="Roboto" w:hAnsi="Roboto" w:eastAsia="Roboto" w:cs="Roboto"/>
            <w:b w:val="0"/>
            <w:bCs w:val="0"/>
            <w:i w:val="0"/>
            <w:iCs w:val="0"/>
            <w:strike w:val="0"/>
            <w:dstrike w:val="0"/>
            <w:noProof w:val="0"/>
            <w:color w:val="1155CC"/>
            <w:sz w:val="22"/>
            <w:szCs w:val="22"/>
            <w:u w:val="none"/>
            <w:lang w:val="es-ES"/>
          </w:rPr>
          <w:t xml:space="preserve"> Entidad Nacional de Acreditación</w:t>
        </w:r>
      </w:hyperlink>
      <w:r w:rsidRPr="1F65C392" w:rsidR="162203E8">
        <w:rPr>
          <w:rFonts w:ascii="Roboto" w:hAnsi="Roboto" w:eastAsia="Roboto" w:cs="Roboto"/>
          <w:b w:val="0"/>
          <w:bCs w:val="0"/>
          <w:i w:val="0"/>
          <w:iCs w:val="0"/>
          <w:strike w:val="0"/>
          <w:dstrike w:val="0"/>
          <w:noProof w:val="0"/>
          <w:color w:val="000000" w:themeColor="text1" w:themeTint="FF" w:themeShade="FF"/>
          <w:sz w:val="22"/>
          <w:szCs w:val="22"/>
          <w:u w:val="none"/>
          <w:lang w:val="es-ES"/>
        </w:rPr>
        <w:t xml:space="preserve">, ocupa un papel central </w:t>
      </w:r>
      <w:r w:rsidRPr="1F65C392" w:rsidR="162203E8">
        <w:rPr>
          <w:rFonts w:ascii="Roboto" w:hAnsi="Roboto" w:eastAsia="Roboto" w:cs="Roboto"/>
          <w:b w:val="1"/>
          <w:bCs w:val="1"/>
          <w:i w:val="0"/>
          <w:iCs w:val="0"/>
          <w:strike w:val="0"/>
          <w:dstrike w:val="0"/>
          <w:noProof w:val="0"/>
          <w:color w:val="000000" w:themeColor="text1" w:themeTint="FF" w:themeShade="FF"/>
          <w:sz w:val="22"/>
          <w:szCs w:val="22"/>
          <w:u w:val="none"/>
          <w:lang w:val="es-ES"/>
        </w:rPr>
        <w:t>en la infraestructura de la calidad al aportar confianza en que los organismos de evaluación de la conformidad actúan con competencia técnica e imparcialidad.</w:t>
      </w:r>
      <w:r w:rsidRPr="1F65C392" w:rsidR="162203E8">
        <w:rPr>
          <w:rFonts w:ascii="Roboto" w:hAnsi="Roboto" w:eastAsia="Roboto" w:cs="Roboto"/>
          <w:b w:val="0"/>
          <w:bCs w:val="0"/>
          <w:i w:val="0"/>
          <w:iCs w:val="0"/>
          <w:strike w:val="0"/>
          <w:dstrike w:val="0"/>
          <w:noProof w:val="0"/>
          <w:color w:val="000000" w:themeColor="text1" w:themeTint="FF" w:themeShade="FF"/>
          <w:sz w:val="22"/>
          <w:szCs w:val="22"/>
          <w:u w:val="none"/>
          <w:lang w:val="es-ES"/>
        </w:rPr>
        <w:t xml:space="preserve"> Esta garantía es descrita como esencial para que reguladores, empresas y consumidores puedan confiar en los resultados de ensayos, inspecciones y certificaciones.</w:t>
      </w:r>
    </w:p>
    <w:p w:rsidR="00D355BD" w:rsidRDefault="00D355BD" w14:paraId="1B544B89" w14:textId="77777777">
      <w:pPr>
        <w:jc w:val="both"/>
        <w:rPr>
          <w:rFonts w:ascii="Roboto" w:hAnsi="Roboto" w:eastAsia="Roboto" w:cs="Roboto"/>
          <w:b/>
          <w:bCs/>
          <w:sz w:val="22"/>
          <w:szCs w:val="22"/>
        </w:rPr>
      </w:pPr>
    </w:p>
    <w:p w:rsidR="00D355BD" w:rsidRDefault="00B54FEC" w14:paraId="1B544B8A" w14:textId="77777777">
      <w:pPr>
        <w:jc w:val="both"/>
        <w:rPr>
          <w:rFonts w:ascii="Roboto" w:hAnsi="Roboto" w:eastAsia="Roboto" w:cs="Roboto"/>
          <w:b/>
          <w:bCs/>
          <w:sz w:val="22"/>
          <w:szCs w:val="22"/>
        </w:rPr>
      </w:pPr>
      <w:r>
        <w:rPr>
          <w:rFonts w:ascii="Roboto" w:hAnsi="Roboto" w:eastAsia="Roboto" w:cs="Roboto"/>
          <w:b/>
          <w:bCs/>
          <w:sz w:val="22"/>
          <w:szCs w:val="22"/>
        </w:rPr>
        <w:t>Más competitividad y proyección internacional</w:t>
      </w:r>
    </w:p>
    <w:p w:rsidR="00D355BD" w:rsidRDefault="00D355BD" w14:paraId="1B544B8B" w14:textId="77777777">
      <w:pPr>
        <w:jc w:val="both"/>
        <w:rPr>
          <w:rFonts w:ascii="Roboto" w:hAnsi="Roboto" w:eastAsia="Roboto" w:cs="Roboto"/>
          <w:b/>
          <w:bCs/>
          <w:sz w:val="22"/>
          <w:szCs w:val="22"/>
        </w:rPr>
      </w:pPr>
    </w:p>
    <w:p w:rsidR="06EF528F" w:rsidP="1F65C392" w:rsidRDefault="06EF528F" w14:paraId="6D413553" w14:textId="2016E869">
      <w:pPr>
        <w:pStyle w:val="Normal"/>
        <w:jc w:val="both"/>
      </w:pPr>
      <w:r w:rsidRPr="1F65C392" w:rsidR="06EF528F">
        <w:rPr>
          <w:rFonts w:ascii="Roboto" w:hAnsi="Roboto" w:eastAsia="Roboto" w:cs="Roboto"/>
          <w:b w:val="0"/>
          <w:bCs w:val="0"/>
          <w:i w:val="0"/>
          <w:iCs w:val="0"/>
          <w:strike w:val="0"/>
          <w:dstrike w:val="0"/>
          <w:noProof w:val="0"/>
          <w:color w:val="000000" w:themeColor="text1" w:themeTint="FF" w:themeShade="FF"/>
          <w:sz w:val="22"/>
          <w:szCs w:val="22"/>
          <w:u w:val="none"/>
          <w:lang w:val="es"/>
        </w:rPr>
        <w:t>El Banco Mundial vincula la solidez de la infraestructura de la calidad con la integración económica y el comercio. El organismo internacional recalca que “</w:t>
      </w:r>
      <w:r w:rsidRPr="1F65C392" w:rsidR="06EF528F">
        <w:rPr>
          <w:rFonts w:ascii="Roboto" w:hAnsi="Roboto" w:eastAsia="Roboto" w:cs="Roboto"/>
          <w:b w:val="0"/>
          <w:bCs w:val="0"/>
          <w:i w:val="1"/>
          <w:iCs w:val="1"/>
          <w:strike w:val="0"/>
          <w:dstrike w:val="0"/>
          <w:noProof w:val="0"/>
          <w:color w:val="000000" w:themeColor="text1" w:themeTint="FF" w:themeShade="FF"/>
          <w:sz w:val="22"/>
          <w:szCs w:val="22"/>
          <w:u w:val="none"/>
          <w:lang w:val="es"/>
        </w:rPr>
        <w:t>los países con sistemas de infraestructura de la calidad más sólidos —con sistemas de acreditación reconocidos internacionalmente— tienden a comerciar más y a integrarse con mayor facilidad en las cadenas de valor globales</w:t>
      </w:r>
      <w:r w:rsidRPr="1F65C392" w:rsidR="06EF528F">
        <w:rPr>
          <w:rFonts w:ascii="Roboto" w:hAnsi="Roboto" w:eastAsia="Roboto" w:cs="Roboto"/>
          <w:b w:val="0"/>
          <w:bCs w:val="0"/>
          <w:i w:val="0"/>
          <w:iCs w:val="0"/>
          <w:strike w:val="0"/>
          <w:dstrike w:val="0"/>
          <w:noProof w:val="0"/>
          <w:color w:val="000000" w:themeColor="text1" w:themeTint="FF" w:themeShade="FF"/>
          <w:sz w:val="22"/>
          <w:szCs w:val="22"/>
          <w:u w:val="none"/>
          <w:lang w:val="es"/>
        </w:rPr>
        <w:t>”, ya que los resultados de evaluación de la conformidad son aceptados más allá de sus fronteras.</w:t>
      </w:r>
    </w:p>
    <w:p w:rsidR="1F65C392" w:rsidP="1F65C392" w:rsidRDefault="1F65C392" w14:paraId="45586700" w14:textId="0A850DDC">
      <w:pPr>
        <w:pStyle w:val="Normal"/>
        <w:jc w:val="both"/>
        <w:rPr>
          <w:rFonts w:ascii="Roboto" w:hAnsi="Roboto" w:eastAsia="Roboto" w:cs="Roboto"/>
          <w:b w:val="0"/>
          <w:bCs w:val="0"/>
          <w:i w:val="0"/>
          <w:iCs w:val="0"/>
          <w:strike w:val="0"/>
          <w:dstrike w:val="0"/>
          <w:noProof w:val="0"/>
          <w:color w:val="000000" w:themeColor="text1" w:themeTint="FF" w:themeShade="FF"/>
          <w:sz w:val="22"/>
          <w:szCs w:val="22"/>
          <w:u w:val="none"/>
          <w:lang w:val="es"/>
        </w:rPr>
      </w:pPr>
    </w:p>
    <w:p w:rsidR="06EF528F" w:rsidP="1F65C392" w:rsidRDefault="06EF528F" w14:paraId="27DAF26E" w14:textId="5F7F2DF5">
      <w:pPr>
        <w:pStyle w:val="Normal"/>
        <w:jc w:val="both"/>
        <w:rPr>
          <w:rFonts w:ascii="Roboto" w:hAnsi="Roboto" w:eastAsia="Roboto" w:cs="Roboto"/>
          <w:noProof w:val="0"/>
          <w:sz w:val="22"/>
          <w:szCs w:val="22"/>
          <w:lang w:val="es"/>
        </w:rPr>
      </w:pPr>
      <w:r w:rsidRPr="1F65C392" w:rsidR="06EF528F">
        <w:rPr>
          <w:rFonts w:ascii="Roboto" w:hAnsi="Roboto" w:eastAsia="Roboto" w:cs="Roboto"/>
          <w:b w:val="0"/>
          <w:bCs w:val="0"/>
          <w:i w:val="0"/>
          <w:iCs w:val="0"/>
          <w:strike w:val="0"/>
          <w:dstrike w:val="0"/>
          <w:noProof w:val="0"/>
          <w:color w:val="000000" w:themeColor="text1" w:themeTint="FF" w:themeShade="FF"/>
          <w:sz w:val="22"/>
          <w:szCs w:val="22"/>
          <w:u w:val="none"/>
          <w:lang w:val="es"/>
        </w:rPr>
        <w:t>Por el contrario, el documento advierte de que una infraestructura de la calidad débil limita la capacidad de las empresas para competir tanto en los mercados nacionales como internacionales, por lo que fortalecer los sistemas de acreditación y evaluación de la conformidad constituye “u</w:t>
      </w:r>
      <w:r w:rsidRPr="1F65C392" w:rsidR="06EF528F">
        <w:rPr>
          <w:rFonts w:ascii="Roboto" w:hAnsi="Roboto" w:eastAsia="Roboto" w:cs="Roboto"/>
          <w:b w:val="0"/>
          <w:bCs w:val="0"/>
          <w:i w:val="1"/>
          <w:iCs w:val="1"/>
          <w:strike w:val="0"/>
          <w:dstrike w:val="0"/>
          <w:noProof w:val="0"/>
          <w:color w:val="000000" w:themeColor="text1" w:themeTint="FF" w:themeShade="FF"/>
          <w:sz w:val="22"/>
          <w:szCs w:val="22"/>
          <w:u w:val="none"/>
          <w:lang w:val="es"/>
        </w:rPr>
        <w:t>n componente importante de las estrategias orientadas al crecimiento de la productividad y al desarrollo económico”</w:t>
      </w:r>
      <w:r w:rsidRPr="1F65C392" w:rsidR="06EF528F">
        <w:rPr>
          <w:rFonts w:ascii="Roboto" w:hAnsi="Roboto" w:eastAsia="Roboto" w:cs="Roboto"/>
          <w:b w:val="0"/>
          <w:bCs w:val="0"/>
          <w:i w:val="0"/>
          <w:iCs w:val="0"/>
          <w:strike w:val="0"/>
          <w:dstrike w:val="0"/>
          <w:noProof w:val="0"/>
          <w:color w:val="000000" w:themeColor="text1" w:themeTint="FF" w:themeShade="FF"/>
          <w:sz w:val="22"/>
          <w:szCs w:val="22"/>
          <w:u w:val="none"/>
          <w:lang w:val="es"/>
        </w:rPr>
        <w:t>.</w:t>
      </w:r>
    </w:p>
    <w:p w:rsidR="00D355BD" w:rsidRDefault="00D355BD" w14:paraId="1B544B8F" w14:textId="77777777">
      <w:pPr>
        <w:jc w:val="both"/>
        <w:rPr>
          <w:rFonts w:ascii="Roboto" w:hAnsi="Roboto" w:eastAsia="Roboto" w:cs="Roboto"/>
          <w:sz w:val="22"/>
          <w:szCs w:val="22"/>
        </w:rPr>
      </w:pPr>
    </w:p>
    <w:p w:rsidR="00D355BD" w:rsidRDefault="00B54FEC" w14:paraId="1B544B90" w14:textId="77777777">
      <w:pPr>
        <w:jc w:val="both"/>
        <w:rPr>
          <w:rFonts w:ascii="Roboto" w:hAnsi="Roboto" w:eastAsia="Roboto" w:cs="Roboto"/>
          <w:sz w:val="22"/>
          <w:szCs w:val="22"/>
        </w:rPr>
      </w:pPr>
      <w:r>
        <w:rPr>
          <w:rFonts w:ascii="Roboto" w:hAnsi="Roboto" w:eastAsia="Roboto" w:cs="Roboto"/>
          <w:sz w:val="22"/>
          <w:szCs w:val="22"/>
        </w:rPr>
        <w:t xml:space="preserve">También subraya que </w:t>
      </w:r>
      <w:r>
        <w:rPr>
          <w:rFonts w:ascii="Roboto" w:hAnsi="Roboto" w:eastAsia="Roboto" w:cs="Roboto"/>
          <w:b/>
          <w:bCs/>
          <w:sz w:val="22"/>
          <w:szCs w:val="22"/>
        </w:rPr>
        <w:t>la infraestructura de la calidad puede reducir los costes de comercialización de productos y servicios</w:t>
      </w:r>
      <w:r>
        <w:rPr>
          <w:rFonts w:ascii="Roboto" w:hAnsi="Roboto" w:eastAsia="Roboto" w:cs="Roboto"/>
          <w:sz w:val="22"/>
          <w:szCs w:val="22"/>
        </w:rPr>
        <w:t>, ya que cuando los compradores confían en la fiabilidad de los controles, no necesitan examinar los productos con el mismo grado de detalle, lo que simplifica las operaciones comerciales.</w:t>
      </w:r>
    </w:p>
    <w:p w:rsidR="00D355BD" w:rsidRDefault="00D355BD" w14:paraId="1B544B91" w14:textId="77777777">
      <w:pPr>
        <w:jc w:val="both"/>
        <w:rPr>
          <w:rFonts w:ascii="Roboto" w:hAnsi="Roboto" w:eastAsia="Roboto" w:cs="Roboto"/>
          <w:sz w:val="22"/>
          <w:szCs w:val="22"/>
        </w:rPr>
      </w:pPr>
    </w:p>
    <w:p w:rsidR="00D355BD" w:rsidRDefault="00B54FEC" w14:paraId="1B544B92" w14:textId="77777777">
      <w:pPr>
        <w:jc w:val="both"/>
        <w:rPr>
          <w:rFonts w:ascii="Roboto" w:hAnsi="Roboto" w:eastAsia="Roboto" w:cs="Roboto"/>
          <w:sz w:val="22"/>
          <w:szCs w:val="22"/>
        </w:rPr>
      </w:pPr>
      <w:r>
        <w:rPr>
          <w:rFonts w:ascii="Roboto" w:hAnsi="Roboto" w:eastAsia="Roboto" w:cs="Roboto"/>
          <w:sz w:val="22"/>
          <w:szCs w:val="22"/>
        </w:rPr>
        <w:t xml:space="preserve">En materia de </w:t>
      </w:r>
      <w:r>
        <w:rPr>
          <w:rFonts w:ascii="Roboto" w:hAnsi="Roboto" w:eastAsia="Roboto" w:cs="Roboto"/>
          <w:b/>
          <w:bCs/>
          <w:sz w:val="22"/>
          <w:szCs w:val="22"/>
        </w:rPr>
        <w:t>comercio internacional</w:t>
      </w:r>
      <w:r>
        <w:rPr>
          <w:rFonts w:ascii="Roboto" w:hAnsi="Roboto" w:eastAsia="Roboto" w:cs="Roboto"/>
          <w:sz w:val="22"/>
          <w:szCs w:val="22"/>
        </w:rPr>
        <w:t>, el Banco Mundial indica que “</w:t>
      </w:r>
      <w:r>
        <w:rPr>
          <w:rFonts w:ascii="Roboto" w:hAnsi="Roboto" w:eastAsia="Roboto" w:cs="Roboto"/>
          <w:i/>
          <w:iCs/>
          <w:sz w:val="22"/>
          <w:szCs w:val="22"/>
        </w:rPr>
        <w:t>el reconocimiento mutuo de los resultados de la evaluación de la conformidad acreditada reduce las barreras técnicas al comercio al evitar ensayos y certificaciones duplicadas</w:t>
      </w:r>
      <w:r>
        <w:rPr>
          <w:rFonts w:ascii="Roboto" w:hAnsi="Roboto" w:eastAsia="Roboto" w:cs="Roboto"/>
          <w:sz w:val="22"/>
          <w:szCs w:val="22"/>
        </w:rPr>
        <w:t>”, lo que facilita la participación en los mercados internacionales, especialmente para las pequeñas y medianas empresas.</w:t>
      </w:r>
    </w:p>
    <w:p w:rsidR="00D355BD" w:rsidRDefault="00D355BD" w14:paraId="1B544B93" w14:textId="77777777">
      <w:pPr>
        <w:jc w:val="both"/>
        <w:rPr>
          <w:rFonts w:ascii="Roboto" w:hAnsi="Roboto" w:eastAsia="Roboto" w:cs="Roboto"/>
          <w:sz w:val="22"/>
          <w:szCs w:val="22"/>
        </w:rPr>
      </w:pPr>
    </w:p>
    <w:p w:rsidR="163819D3" w:rsidP="1F65C392" w:rsidRDefault="163819D3" w14:paraId="5578EC5D" w14:textId="61BE009F">
      <w:pPr>
        <w:spacing w:before="0" w:beforeAutospacing="off" w:after="0" w:afterAutospacing="off"/>
        <w:jc w:val="both"/>
      </w:pPr>
      <w:r w:rsidRPr="1F65C392" w:rsidR="163819D3">
        <w:rPr>
          <w:rFonts w:ascii="Roboto" w:hAnsi="Roboto" w:eastAsia="Roboto" w:cs="Roboto"/>
          <w:b w:val="0"/>
          <w:bCs w:val="0"/>
          <w:i w:val="0"/>
          <w:iCs w:val="0"/>
          <w:strike w:val="0"/>
          <w:dstrike w:val="0"/>
          <w:noProof w:val="0"/>
          <w:color w:val="000000" w:themeColor="text1" w:themeTint="FF" w:themeShade="FF"/>
          <w:sz w:val="22"/>
          <w:szCs w:val="22"/>
          <w:u w:val="none"/>
          <w:lang w:val="es"/>
        </w:rPr>
        <w:t xml:space="preserve">El informe señala que la </w:t>
      </w:r>
      <w:r w:rsidRPr="1F65C392" w:rsidR="163819D3">
        <w:rPr>
          <w:rFonts w:ascii="Roboto" w:hAnsi="Roboto" w:eastAsia="Roboto" w:cs="Roboto"/>
          <w:b w:val="1"/>
          <w:bCs w:val="1"/>
          <w:i w:val="0"/>
          <w:iCs w:val="0"/>
          <w:strike w:val="0"/>
          <w:dstrike w:val="0"/>
          <w:noProof w:val="0"/>
          <w:color w:val="000000" w:themeColor="text1" w:themeTint="FF" w:themeShade="FF"/>
          <w:sz w:val="22"/>
          <w:szCs w:val="22"/>
          <w:u w:val="none"/>
          <w:lang w:val="es"/>
        </w:rPr>
        <w:t>infraestructura de la calidad</w:t>
      </w:r>
      <w:r w:rsidRPr="1F65C392" w:rsidR="163819D3">
        <w:rPr>
          <w:rFonts w:ascii="Roboto" w:hAnsi="Roboto" w:eastAsia="Roboto" w:cs="Roboto"/>
          <w:b w:val="0"/>
          <w:bCs w:val="0"/>
          <w:i w:val="0"/>
          <w:iCs w:val="0"/>
          <w:strike w:val="0"/>
          <w:dstrike w:val="0"/>
          <w:noProof w:val="0"/>
          <w:color w:val="000000" w:themeColor="text1" w:themeTint="FF" w:themeShade="FF"/>
          <w:sz w:val="22"/>
          <w:szCs w:val="22"/>
          <w:u w:val="none"/>
          <w:lang w:val="es"/>
        </w:rPr>
        <w:t xml:space="preserve"> </w:t>
      </w:r>
      <w:r w:rsidRPr="1F65C392" w:rsidR="163819D3">
        <w:rPr>
          <w:rFonts w:ascii="Roboto" w:hAnsi="Roboto" w:eastAsia="Roboto" w:cs="Roboto"/>
          <w:b w:val="0"/>
          <w:bCs w:val="0"/>
          <w:i w:val="1"/>
          <w:iCs w:val="1"/>
          <w:strike w:val="0"/>
          <w:dstrike w:val="0"/>
          <w:noProof w:val="0"/>
          <w:color w:val="000000" w:themeColor="text1" w:themeTint="FF" w:themeShade="FF"/>
          <w:sz w:val="22"/>
          <w:szCs w:val="22"/>
          <w:u w:val="none"/>
          <w:lang w:val="es"/>
        </w:rPr>
        <w:t xml:space="preserve">“suele pasar desapercibida, pero </w:t>
      </w:r>
      <w:r w:rsidRPr="1F65C392" w:rsidR="163819D3">
        <w:rPr>
          <w:rFonts w:ascii="Roboto" w:hAnsi="Roboto" w:eastAsia="Roboto" w:cs="Roboto"/>
          <w:b w:val="1"/>
          <w:bCs w:val="1"/>
          <w:i w:val="1"/>
          <w:iCs w:val="1"/>
          <w:strike w:val="0"/>
          <w:dstrike w:val="0"/>
          <w:noProof w:val="0"/>
          <w:color w:val="000000" w:themeColor="text1" w:themeTint="FF" w:themeShade="FF"/>
          <w:sz w:val="22"/>
          <w:szCs w:val="22"/>
          <w:u w:val="none"/>
          <w:lang w:val="es"/>
        </w:rPr>
        <w:t>sostiene de manera constante el funcionamiento eficaz de las economías y los gobiernos</w:t>
      </w:r>
      <w:r w:rsidRPr="1F65C392" w:rsidR="163819D3">
        <w:rPr>
          <w:rFonts w:ascii="Roboto" w:hAnsi="Roboto" w:eastAsia="Roboto" w:cs="Roboto"/>
          <w:b w:val="0"/>
          <w:bCs w:val="0"/>
          <w:i w:val="1"/>
          <w:iCs w:val="1"/>
          <w:strike w:val="0"/>
          <w:dstrike w:val="0"/>
          <w:noProof w:val="0"/>
          <w:color w:val="000000" w:themeColor="text1" w:themeTint="FF" w:themeShade="FF"/>
          <w:sz w:val="22"/>
          <w:szCs w:val="22"/>
          <w:u w:val="none"/>
          <w:lang w:val="es"/>
        </w:rPr>
        <w:t>”,</w:t>
      </w:r>
      <w:r w:rsidRPr="1F65C392" w:rsidR="163819D3">
        <w:rPr>
          <w:rFonts w:ascii="Roboto" w:hAnsi="Roboto" w:eastAsia="Roboto" w:cs="Roboto"/>
          <w:b w:val="0"/>
          <w:bCs w:val="0"/>
          <w:i w:val="0"/>
          <w:iCs w:val="0"/>
          <w:strike w:val="0"/>
          <w:dstrike w:val="0"/>
          <w:noProof w:val="0"/>
          <w:color w:val="000000" w:themeColor="text1" w:themeTint="FF" w:themeShade="FF"/>
          <w:sz w:val="22"/>
          <w:szCs w:val="22"/>
          <w:u w:val="none"/>
          <w:lang w:val="es"/>
        </w:rPr>
        <w:t xml:space="preserve"> desde el impulso a las exportaciones y la protección de los consumidores hasta el fomento de la innovación y la sostenibilidad ambiental. También observa que en las economías de ingresos más altos los organismos nacionales de acreditación participan en un mayor número de áreas cubiertas por acuerdos internacionales de reconocimiento.</w:t>
      </w:r>
    </w:p>
    <w:p w:rsidR="1F65C392" w:rsidP="1F65C392" w:rsidRDefault="1F65C392" w14:paraId="60FD497B" w14:textId="680B06D2">
      <w:pPr>
        <w:jc w:val="both"/>
      </w:pPr>
    </w:p>
    <w:p w:rsidR="00D355BD" w:rsidRDefault="00B54FEC" w14:paraId="1B544B96" w14:textId="77777777">
      <w:pPr>
        <w:jc w:val="both"/>
        <w:rPr>
          <w:rFonts w:ascii="Roboto" w:hAnsi="Roboto" w:eastAsia="Roboto" w:cs="Roboto"/>
          <w:b/>
          <w:bCs/>
          <w:sz w:val="22"/>
          <w:szCs w:val="22"/>
        </w:rPr>
      </w:pPr>
      <w:r>
        <w:rPr>
          <w:rFonts w:ascii="Roboto" w:hAnsi="Roboto" w:eastAsia="Roboto" w:cs="Roboto"/>
          <w:b/>
          <w:bCs/>
          <w:sz w:val="22"/>
          <w:szCs w:val="22"/>
        </w:rPr>
        <w:t>Eficiencia regulatoria y uso de recursos públicos</w:t>
      </w:r>
    </w:p>
    <w:p w:rsidR="00D355BD" w:rsidRDefault="00D355BD" w14:paraId="1B544B97" w14:textId="77777777">
      <w:pPr>
        <w:jc w:val="both"/>
        <w:rPr>
          <w:rFonts w:ascii="Roboto" w:hAnsi="Roboto" w:eastAsia="Roboto" w:cs="Roboto"/>
          <w:b/>
          <w:bCs/>
          <w:sz w:val="22"/>
          <w:szCs w:val="22"/>
        </w:rPr>
      </w:pPr>
    </w:p>
    <w:p w:rsidR="428B268B" w:rsidP="1F65C392" w:rsidRDefault="428B268B" w14:paraId="7C114A5C" w14:textId="320E7EAA">
      <w:pPr>
        <w:pStyle w:val="Normal"/>
        <w:jc w:val="both"/>
        <w:rPr>
          <w:rFonts w:ascii="Roboto" w:hAnsi="Roboto" w:eastAsia="Roboto" w:cs="Roboto"/>
          <w:noProof w:val="0"/>
          <w:sz w:val="22"/>
          <w:szCs w:val="22"/>
          <w:lang w:val="es"/>
        </w:rPr>
      </w:pPr>
      <w:r w:rsidRPr="1F65C392" w:rsidR="428B268B">
        <w:rPr>
          <w:rFonts w:ascii="Roboto" w:hAnsi="Roboto" w:eastAsia="Roboto" w:cs="Roboto"/>
          <w:b w:val="0"/>
          <w:bCs w:val="0"/>
          <w:i w:val="0"/>
          <w:iCs w:val="0"/>
          <w:strike w:val="0"/>
          <w:dstrike w:val="0"/>
          <w:noProof w:val="0"/>
          <w:color w:val="000000" w:themeColor="text1" w:themeTint="FF" w:themeShade="FF"/>
          <w:sz w:val="22"/>
          <w:szCs w:val="22"/>
          <w:u w:val="none"/>
          <w:lang w:val="es"/>
        </w:rPr>
        <w:t xml:space="preserve">Para que los reguladores puedan apoyarse en los resultados de la evaluación de la conformidad, deben confiar en la competencia y la imparcialidad de los organismos que los emiten; por ello, </w:t>
      </w:r>
      <w:r w:rsidRPr="1F65C392" w:rsidR="428B268B">
        <w:rPr>
          <w:rFonts w:ascii="Roboto" w:hAnsi="Roboto" w:eastAsia="Roboto" w:cs="Roboto"/>
          <w:b w:val="0"/>
          <w:bCs w:val="0"/>
          <w:i w:val="1"/>
          <w:iCs w:val="1"/>
          <w:strike w:val="0"/>
          <w:dstrike w:val="0"/>
          <w:noProof w:val="0"/>
          <w:color w:val="000000" w:themeColor="text1" w:themeTint="FF" w:themeShade="FF"/>
          <w:sz w:val="22"/>
          <w:szCs w:val="22"/>
          <w:u w:val="none"/>
          <w:lang w:val="es"/>
        </w:rPr>
        <w:t>“cuando recurren de forma sistemática a la evaluación de la conformidad acreditada pueden reducir duplicidades, disminuir costes de cumplimiento y concentrar los recursos públicos en actividades de mayor riesgo</w:t>
      </w:r>
      <w:r w:rsidRPr="1F65C392" w:rsidR="428B268B">
        <w:rPr>
          <w:rFonts w:ascii="Roboto" w:hAnsi="Roboto" w:eastAsia="Roboto" w:cs="Roboto"/>
          <w:b w:val="0"/>
          <w:bCs w:val="0"/>
          <w:i w:val="0"/>
          <w:iCs w:val="0"/>
          <w:strike w:val="0"/>
          <w:dstrike w:val="0"/>
          <w:noProof w:val="0"/>
          <w:color w:val="000000" w:themeColor="text1" w:themeTint="FF" w:themeShade="FF"/>
          <w:sz w:val="22"/>
          <w:szCs w:val="22"/>
          <w:u w:val="none"/>
          <w:lang w:val="es"/>
        </w:rPr>
        <w:t>”.</w:t>
      </w:r>
    </w:p>
    <w:p w:rsidR="00D355BD" w:rsidRDefault="00D355BD" w14:paraId="1B544B9D" w14:textId="77777777">
      <w:pPr>
        <w:jc w:val="both"/>
        <w:rPr>
          <w:rFonts w:ascii="Roboto" w:hAnsi="Roboto" w:eastAsia="Roboto" w:cs="Roboto"/>
          <w:sz w:val="22"/>
          <w:szCs w:val="22"/>
        </w:rPr>
      </w:pPr>
    </w:p>
    <w:p w:rsidR="00D355BD" w:rsidP="1F65C392" w:rsidRDefault="00B54FEC" w14:paraId="1B544BA4" w14:textId="54D4F56E">
      <w:pPr>
        <w:pStyle w:val="Normal"/>
        <w:jc w:val="both"/>
      </w:pPr>
      <w:r w:rsidRPr="1F65C392" w:rsidR="424E9876">
        <w:rPr>
          <w:rFonts w:ascii="Roboto" w:hAnsi="Roboto" w:eastAsia="Roboto" w:cs="Roboto"/>
          <w:b w:val="0"/>
          <w:bCs w:val="0"/>
          <w:i w:val="0"/>
          <w:iCs w:val="0"/>
          <w:strike w:val="0"/>
          <w:dstrike w:val="0"/>
          <w:noProof w:val="0"/>
          <w:color w:val="000000" w:themeColor="text1" w:themeTint="FF" w:themeShade="FF"/>
          <w:sz w:val="22"/>
          <w:szCs w:val="22"/>
          <w:u w:val="none"/>
          <w:lang w:val="es-ES"/>
        </w:rPr>
        <w:t>Asimismo, destaca que “</w:t>
      </w:r>
      <w:r w:rsidRPr="1F65C392" w:rsidR="424E9876">
        <w:rPr>
          <w:rFonts w:ascii="Roboto" w:hAnsi="Roboto" w:eastAsia="Roboto" w:cs="Roboto"/>
          <w:b w:val="0"/>
          <w:bCs w:val="0"/>
          <w:i w:val="1"/>
          <w:iCs w:val="1"/>
          <w:strike w:val="0"/>
          <w:dstrike w:val="0"/>
          <w:noProof w:val="0"/>
          <w:color w:val="000000" w:themeColor="text1" w:themeTint="FF" w:themeShade="FF"/>
          <w:sz w:val="22"/>
          <w:szCs w:val="22"/>
          <w:u w:val="none"/>
          <w:lang w:val="es-ES"/>
        </w:rPr>
        <w:t xml:space="preserve">basar las decisiones regulatorias en la evaluación de la conformidad acreditada permite </w:t>
      </w:r>
      <w:r w:rsidRPr="1F65C392" w:rsidR="424E9876">
        <w:rPr>
          <w:rFonts w:ascii="Roboto" w:hAnsi="Roboto" w:eastAsia="Roboto" w:cs="Roboto"/>
          <w:b w:val="1"/>
          <w:bCs w:val="1"/>
          <w:i w:val="1"/>
          <w:iCs w:val="1"/>
          <w:strike w:val="0"/>
          <w:dstrike w:val="0"/>
          <w:noProof w:val="0"/>
          <w:color w:val="000000" w:themeColor="text1" w:themeTint="FF" w:themeShade="FF"/>
          <w:sz w:val="22"/>
          <w:szCs w:val="22"/>
          <w:u w:val="none"/>
          <w:lang w:val="es-ES"/>
        </w:rPr>
        <w:t>un mejor uso de recursos públicos limitados</w:t>
      </w:r>
      <w:r w:rsidRPr="1F65C392" w:rsidR="424E9876">
        <w:rPr>
          <w:rFonts w:ascii="Roboto" w:hAnsi="Roboto" w:eastAsia="Roboto" w:cs="Roboto"/>
          <w:b w:val="0"/>
          <w:bCs w:val="0"/>
          <w:i w:val="1"/>
          <w:iCs w:val="1"/>
          <w:strike w:val="0"/>
          <w:dstrike w:val="0"/>
          <w:noProof w:val="0"/>
          <w:color w:val="000000" w:themeColor="text1" w:themeTint="FF" w:themeShade="FF"/>
          <w:sz w:val="22"/>
          <w:szCs w:val="22"/>
          <w:u w:val="none"/>
          <w:lang w:val="es-ES"/>
        </w:rPr>
        <w:t>, centrándose en las áreas donde los riesgos son más elevados y manteniendo niveles adecuados de protección</w:t>
      </w:r>
      <w:r w:rsidRPr="1F65C392" w:rsidR="424E9876">
        <w:rPr>
          <w:rFonts w:ascii="Roboto" w:hAnsi="Roboto" w:eastAsia="Roboto" w:cs="Roboto"/>
          <w:b w:val="0"/>
          <w:bCs w:val="0"/>
          <w:i w:val="0"/>
          <w:iCs w:val="0"/>
          <w:strike w:val="0"/>
          <w:dstrike w:val="0"/>
          <w:noProof w:val="0"/>
          <w:color w:val="000000" w:themeColor="text1" w:themeTint="FF" w:themeShade="FF"/>
          <w:sz w:val="22"/>
          <w:szCs w:val="22"/>
          <w:u w:val="none"/>
          <w:lang w:val="es-ES"/>
        </w:rPr>
        <w:t>” y añade que “</w:t>
      </w:r>
      <w:r w:rsidRPr="1F65C392" w:rsidR="424E9876">
        <w:rPr>
          <w:rFonts w:ascii="Roboto" w:hAnsi="Roboto" w:eastAsia="Roboto" w:cs="Roboto"/>
          <w:b w:val="0"/>
          <w:bCs w:val="0"/>
          <w:i w:val="1"/>
          <w:iCs w:val="1"/>
          <w:strike w:val="0"/>
          <w:dstrike w:val="0"/>
          <w:noProof w:val="0"/>
          <w:color w:val="000000" w:themeColor="text1" w:themeTint="FF" w:themeShade="FF"/>
          <w:sz w:val="22"/>
          <w:szCs w:val="22"/>
          <w:u w:val="none"/>
          <w:lang w:val="es-ES"/>
        </w:rPr>
        <w:t>la infraestructura de la calidad puede hacer que la aplicación de la regulación sea más eficaz y eficiente</w:t>
      </w:r>
      <w:r w:rsidRPr="1F65C392" w:rsidR="424E9876">
        <w:rPr>
          <w:rFonts w:ascii="Roboto" w:hAnsi="Roboto" w:eastAsia="Roboto" w:cs="Roboto"/>
          <w:b w:val="0"/>
          <w:bCs w:val="0"/>
          <w:i w:val="0"/>
          <w:iCs w:val="0"/>
          <w:strike w:val="0"/>
          <w:dstrike w:val="0"/>
          <w:noProof w:val="0"/>
          <w:color w:val="000000" w:themeColor="text1" w:themeTint="FF" w:themeShade="FF"/>
          <w:sz w:val="22"/>
          <w:szCs w:val="22"/>
          <w:u w:val="none"/>
          <w:lang w:val="es-ES"/>
        </w:rPr>
        <w:t>”,</w:t>
      </w:r>
      <w:r w:rsidRPr="1F65C392" w:rsidR="424E987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s-ES"/>
        </w:rPr>
        <w:t xml:space="preserve"> </w:t>
      </w:r>
      <w:r w:rsidRPr="1F65C392" w:rsidR="424E9876">
        <w:rPr>
          <w:rFonts w:ascii="Roboto" w:hAnsi="Roboto" w:eastAsia="Roboto" w:cs="Roboto"/>
          <w:b w:val="0"/>
          <w:bCs w:val="0"/>
          <w:i w:val="0"/>
          <w:iCs w:val="0"/>
          <w:strike w:val="0"/>
          <w:dstrike w:val="0"/>
          <w:noProof w:val="0"/>
          <w:color w:val="000000" w:themeColor="text1" w:themeTint="FF" w:themeShade="FF"/>
          <w:sz w:val="22"/>
          <w:szCs w:val="22"/>
          <w:u w:val="none"/>
          <w:lang w:val="es-ES"/>
        </w:rPr>
        <w:t xml:space="preserve"> y advierte también que, en algunos casos, las autoridades establecen requisitos de evaluación de la conformidad que no se alinean con las buenas prácticas internacionales </w:t>
      </w:r>
      <w:r w:rsidRPr="1F65C392" w:rsidR="424E9876">
        <w:rPr>
          <w:rFonts w:ascii="Roboto" w:hAnsi="Roboto" w:eastAsia="Roboto" w:cs="Roboto"/>
          <w:b w:val="0"/>
          <w:bCs w:val="0"/>
          <w:i w:val="0"/>
          <w:iCs w:val="0"/>
          <w:strike w:val="0"/>
          <w:dstrike w:val="0"/>
          <w:noProof w:val="0"/>
          <w:color w:val="000000" w:themeColor="text1" w:themeTint="FF" w:themeShade="FF"/>
          <w:sz w:val="22"/>
          <w:szCs w:val="22"/>
          <w:u w:val="none"/>
          <w:lang w:val="es-ES"/>
        </w:rPr>
        <w:t>o</w:t>
      </w:r>
      <w:r w:rsidRPr="1F65C392" w:rsidR="424E9876">
        <w:rPr>
          <w:rFonts w:ascii="Roboto" w:hAnsi="Roboto" w:eastAsia="Roboto" w:cs="Roboto"/>
          <w:b w:val="0"/>
          <w:bCs w:val="0"/>
          <w:i w:val="0"/>
          <w:iCs w:val="0"/>
          <w:strike w:val="0"/>
          <w:dstrike w:val="0"/>
          <w:noProof w:val="0"/>
          <w:color w:val="000000" w:themeColor="text1" w:themeTint="FF" w:themeShade="FF"/>
          <w:sz w:val="22"/>
          <w:szCs w:val="22"/>
          <w:u w:val="none"/>
          <w:lang w:val="es-ES"/>
        </w:rPr>
        <w:t xml:space="preserve"> operan con entidades sin acreditación, lo que “</w:t>
      </w:r>
      <w:r w:rsidRPr="1F65C392" w:rsidR="424E9876">
        <w:rPr>
          <w:rFonts w:ascii="Roboto" w:hAnsi="Roboto" w:eastAsia="Roboto" w:cs="Roboto"/>
          <w:b w:val="0"/>
          <w:bCs w:val="0"/>
          <w:i w:val="1"/>
          <w:iCs w:val="1"/>
          <w:strike w:val="0"/>
          <w:dstrike w:val="0"/>
          <w:noProof w:val="0"/>
          <w:color w:val="000000" w:themeColor="text1" w:themeTint="FF" w:themeShade="FF"/>
          <w:sz w:val="22"/>
          <w:szCs w:val="22"/>
          <w:u w:val="none"/>
          <w:lang w:val="es-ES"/>
        </w:rPr>
        <w:t>da lugar a un uso ineficiente de recursos públicos</w:t>
      </w:r>
      <w:r w:rsidRPr="1F65C392" w:rsidR="424E9876">
        <w:rPr>
          <w:rFonts w:ascii="Roboto" w:hAnsi="Roboto" w:eastAsia="Roboto" w:cs="Roboto"/>
          <w:b w:val="0"/>
          <w:bCs w:val="0"/>
          <w:i w:val="0"/>
          <w:iCs w:val="0"/>
          <w:strike w:val="0"/>
          <w:dstrike w:val="0"/>
          <w:noProof w:val="0"/>
          <w:color w:val="000000" w:themeColor="text1" w:themeTint="FF" w:themeShade="FF"/>
          <w:sz w:val="22"/>
          <w:szCs w:val="22"/>
          <w:u w:val="none"/>
          <w:lang w:val="es-ES"/>
        </w:rPr>
        <w:t>”. Frente a ello, señala que los enfoques armonizados de evaluación de la conformidad, como la acreditación, permiten seleccionar métodos adecuados y garantizar su coherencia entre las distintas autoridades.</w:t>
      </w:r>
    </w:p>
    <w:p w:rsidR="00D355BD" w:rsidP="1F65C392" w:rsidRDefault="00B54FEC" w14:paraId="318B4127" w14:textId="00D7631F">
      <w:pPr>
        <w:pStyle w:val="Normal"/>
        <w:jc w:val="both"/>
        <w:rPr>
          <w:rFonts w:ascii="Roboto" w:hAnsi="Roboto" w:eastAsia="Roboto" w:cs="Roboto"/>
          <w:b w:val="0"/>
          <w:bCs w:val="0"/>
          <w:i w:val="0"/>
          <w:iCs w:val="0"/>
          <w:strike w:val="0"/>
          <w:dstrike w:val="0"/>
          <w:noProof w:val="0"/>
          <w:color w:val="000000" w:themeColor="text1" w:themeTint="FF" w:themeShade="FF"/>
          <w:sz w:val="22"/>
          <w:szCs w:val="22"/>
          <w:u w:val="none"/>
          <w:lang w:val="es-ES"/>
        </w:rPr>
      </w:pPr>
    </w:p>
    <w:p w:rsidR="00D355BD" w:rsidP="1F65C392" w:rsidRDefault="00B54FEC" w14:paraId="1B544BA5" w14:textId="0C0B9D7E">
      <w:pPr>
        <w:pStyle w:val="Normal"/>
        <w:jc w:val="both"/>
        <w:rPr>
          <w:rFonts w:ascii="Roboto" w:hAnsi="Roboto" w:eastAsia="Roboto" w:cs="Roboto"/>
          <w:sz w:val="22"/>
          <w:szCs w:val="22"/>
          <w:lang w:val="es-ES"/>
        </w:rPr>
      </w:pPr>
      <w:sdt>
        <w:sdtPr>
          <w:id w:val="1992842729"/>
          <w:tag w:val="goog_rdk_51"/>
          <w:placeholder>
            <w:docPart w:val="DefaultPlaceholder_1081868574"/>
          </w:placeholder>
        </w:sdtPr>
        <w:sdtContent>
          <w:sdt>
            <w:sdtPr>
              <w:id w:val="1139586804"/>
              <w:tag w:val="goog_rdk_50"/>
              <w:placeholder>
                <w:docPart w:val="DefaultPlaceholder_1081868574"/>
              </w:placeholder>
            </w:sdtPr>
            <w:sdtContent/>
          </w:sdt>
        </w:sdtContent>
      </w:sdt>
      <w:r w:rsidRPr="1F65C392" w:rsidR="00B54FEC">
        <w:rPr>
          <w:rFonts w:ascii="Roboto" w:hAnsi="Roboto" w:eastAsia="Roboto" w:cs="Roboto"/>
          <w:sz w:val="22"/>
          <w:szCs w:val="22"/>
        </w:rPr>
        <w:t xml:space="preserve">En relación con el modelo europeo, el documento recoge que </w:t>
      </w:r>
      <w:r w:rsidRPr="1F65C392" w:rsidR="00B54FEC">
        <w:rPr>
          <w:rFonts w:ascii="Roboto" w:hAnsi="Roboto" w:eastAsia="Roboto" w:cs="Roboto"/>
          <w:i w:val="1"/>
          <w:iCs w:val="1"/>
          <w:sz w:val="22"/>
          <w:szCs w:val="22"/>
        </w:rPr>
        <w:t xml:space="preserve">“la Unión Europea considera la acreditación como una función de </w:t>
      </w:r>
      <w:bookmarkStart w:name="_Int_VCBceAYB" w:id="610456621"/>
      <w:r w:rsidRPr="1F65C392" w:rsidR="00B54FEC">
        <w:rPr>
          <w:rFonts w:ascii="Roboto" w:hAnsi="Roboto" w:eastAsia="Roboto" w:cs="Roboto"/>
          <w:i w:val="1"/>
          <w:iCs w:val="1"/>
          <w:sz w:val="22"/>
          <w:szCs w:val="22"/>
        </w:rPr>
        <w:t>autoridad pública</w:t>
      </w:r>
      <w:bookmarkEnd w:id="610456621"/>
      <w:r w:rsidRPr="1F65C392" w:rsidR="00B54FEC">
        <w:rPr>
          <w:rFonts w:ascii="Roboto" w:hAnsi="Roboto" w:eastAsia="Roboto" w:cs="Roboto"/>
          <w:i w:val="1"/>
          <w:iCs w:val="1"/>
          <w:sz w:val="22"/>
          <w:szCs w:val="22"/>
        </w:rPr>
        <w:t xml:space="preserve"> que respalda el funcionamiento </w:t>
      </w:r>
      <w:r w:rsidRPr="1F65C392" w:rsidR="00B54FEC">
        <w:rPr>
          <w:rFonts w:ascii="Roboto" w:hAnsi="Roboto" w:eastAsia="Roboto" w:cs="Roboto"/>
          <w:i w:val="1"/>
          <w:iCs w:val="1"/>
          <w:sz w:val="22"/>
          <w:szCs w:val="22"/>
        </w:rPr>
        <w:t>del mercado único</w:t>
      </w:r>
      <w:r w:rsidRPr="1F65C392" w:rsidR="00B54FEC">
        <w:rPr>
          <w:rFonts w:ascii="Roboto" w:hAnsi="Roboto" w:eastAsia="Roboto" w:cs="Roboto"/>
          <w:sz w:val="22"/>
          <w:szCs w:val="22"/>
        </w:rPr>
        <w:t>”.</w:t>
      </w:r>
    </w:p>
    <w:p w:rsidR="00D355BD" w:rsidRDefault="00D355BD" w14:paraId="1B544BA6"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after="160"/>
        <w:jc w:val="both"/>
        <w:rPr>
          <w:rFonts w:ascii="Arial" w:hAnsi="Arial" w:eastAsia="Arial" w:cs="Arial"/>
          <w:b/>
          <w:bCs/>
          <w:sz w:val="22"/>
          <w:szCs w:val="22"/>
        </w:rPr>
      </w:pPr>
    </w:p>
    <w:p w:rsidR="00D355BD" w:rsidRDefault="00B54FEC" w14:paraId="1B544BA7"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after="160"/>
        <w:jc w:val="both"/>
        <w:rPr>
          <w:rFonts w:ascii="Roboto" w:hAnsi="Roboto" w:eastAsia="Roboto" w:cs="Roboto"/>
          <w:color w:val="E83544"/>
          <w:sz w:val="22"/>
          <w:szCs w:val="22"/>
        </w:rPr>
      </w:pPr>
      <w:r>
        <w:rPr>
          <w:rFonts w:ascii="Roboto" w:hAnsi="Roboto" w:eastAsia="Roboto" w:cs="Roboto"/>
          <w:b/>
          <w:bCs/>
          <w:color w:val="E83544"/>
          <w:sz w:val="22"/>
          <w:szCs w:val="22"/>
        </w:rPr>
        <w:t>Sobre ENAC</w:t>
      </w:r>
      <w:r>
        <w:rPr>
          <w:rFonts w:ascii="Roboto" w:hAnsi="Roboto" w:eastAsia="Roboto" w:cs="Roboto"/>
          <w:color w:val="E83544"/>
          <w:sz w:val="22"/>
          <w:szCs w:val="22"/>
        </w:rPr>
        <w:t xml:space="preserve"> </w:t>
      </w:r>
    </w:p>
    <w:p w:rsidR="00D355BD" w:rsidRDefault="00B54FEC" w14:paraId="1B544BA8"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line="259" w:lineRule="auto"/>
        <w:jc w:val="both"/>
        <w:rPr>
          <w:rFonts w:ascii="Roboto" w:hAnsi="Roboto" w:eastAsia="Roboto" w:cs="Roboto"/>
          <w:sz w:val="22"/>
          <w:szCs w:val="22"/>
        </w:rPr>
      </w:pPr>
      <w:r>
        <w:rPr>
          <w:rFonts w:ascii="Roboto" w:hAnsi="Roboto" w:eastAsia="Roboto" w:cs="Roboto"/>
          <w:sz w:val="22"/>
          <w:szCs w:val="22"/>
        </w:rPr>
        <w:t xml:space="preserve">La Entidad Nacional de Acreditación – ENAC – es la entidad designada por el Gobierno para operar en España como el único Organismo Nacional de Acreditación, en aplicación del Reglamento (CE) nº765/2008 del Parlamento Europeo que regula el funcionamiento de la acreditación en Europa. </w:t>
      </w:r>
    </w:p>
    <w:p w:rsidR="00D355BD" w:rsidRDefault="00D355BD" w14:paraId="1B544BA9"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line="259" w:lineRule="auto"/>
        <w:jc w:val="both"/>
        <w:rPr>
          <w:rFonts w:ascii="Roboto" w:hAnsi="Roboto" w:eastAsia="Roboto" w:cs="Roboto"/>
          <w:sz w:val="22"/>
          <w:szCs w:val="22"/>
        </w:rPr>
      </w:pPr>
    </w:p>
    <w:p w:rsidR="00D355BD" w:rsidRDefault="00B54FEC" w14:paraId="1B544BAA"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line="259" w:lineRule="auto"/>
        <w:jc w:val="both"/>
        <w:rPr>
          <w:rFonts w:ascii="Roboto" w:hAnsi="Roboto" w:eastAsia="Roboto" w:cs="Roboto"/>
          <w:sz w:val="22"/>
          <w:szCs w:val="22"/>
        </w:rPr>
      </w:pPr>
      <w:r>
        <w:rPr>
          <w:rFonts w:ascii="Roboto" w:hAnsi="Roboto" w:eastAsia="Roboto" w:cs="Roboto"/>
          <w:sz w:val="22"/>
          <w:szCs w:val="22"/>
        </w:rPr>
        <w:t>ENAC tiene como misión generar confianza en el mercado y en la sociedad evaluando, a través de un sistema conforme a normas internacionales, la competencia técnica de laboratorios de ensayo o calibración, entidades de inspección, entidades de certificación y verificadores medioambientales que desarrollen su actividad en cualquier sector: industria,  energía, medio ambiente, sanidad, alimentación, investigación, desarrollo e innovación, transportes, telecomunicaciones, turismo, servicios, construcción, etc. </w:t>
      </w:r>
      <w:r>
        <w:rPr>
          <w:rFonts w:ascii="Roboto" w:hAnsi="Roboto" w:eastAsia="Roboto" w:cs="Roboto"/>
          <w:sz w:val="22"/>
          <w:szCs w:val="22"/>
        </w:rPr>
        <w:t xml:space="preserve">Contribuye, así, a la seguridad y el bienestar de las personas, la calidad de los productos y servicios, la protección del medioambiente y, con ello, al aumento de la competitividad de los productos y servicios españoles y a una disminución de los costes para la sociedad debidos a estas actividades.  </w:t>
      </w:r>
    </w:p>
    <w:p w:rsidR="00D355BD" w:rsidRDefault="00D355BD" w14:paraId="1B544BAB"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line="259" w:lineRule="auto"/>
        <w:jc w:val="both"/>
        <w:rPr>
          <w:rFonts w:ascii="Roboto" w:hAnsi="Roboto" w:eastAsia="Roboto" w:cs="Roboto"/>
          <w:sz w:val="22"/>
          <w:szCs w:val="22"/>
        </w:rPr>
      </w:pPr>
    </w:p>
    <w:p w:rsidR="00D355BD" w:rsidRDefault="00B54FEC" w14:paraId="1B544BAC"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line="259" w:lineRule="auto"/>
        <w:jc w:val="both"/>
        <w:rPr>
          <w:rFonts w:ascii="Roboto" w:hAnsi="Roboto" w:eastAsia="Roboto" w:cs="Roboto"/>
          <w:sz w:val="22"/>
          <w:szCs w:val="22"/>
        </w:rPr>
      </w:pPr>
      <w:r>
        <w:rPr>
          <w:rFonts w:ascii="Roboto" w:hAnsi="Roboto" w:eastAsia="Roboto" w:cs="Roboto"/>
          <w:sz w:val="22"/>
          <w:szCs w:val="22"/>
        </w:rPr>
        <w:t>La marca ENAC es la manera de distinguir si un certificado o informe está acreditado o no. Aporta confianza en que la organización que lo emite e</w:t>
      </w:r>
      <w:r>
        <w:rPr>
          <w:rFonts w:ascii="Roboto" w:hAnsi="Roboto" w:eastAsia="Roboto" w:cs="Roboto"/>
          <w:sz w:val="22"/>
          <w:szCs w:val="22"/>
        </w:rPr>
        <w:t xml:space="preserve">s técnicamente competente para llevar a cabo la tarea que realiza, y lo es tanto en España como en los 120 países en los que la marca de ENAC es reconocida y aceptada gracias a los acuerdos de reconocimiento que ENAC ha suscrito con las entidades de acreditación de esos países. </w:t>
      </w:r>
    </w:p>
    <w:p w:rsidR="00D355BD" w:rsidRDefault="00D355BD" w14:paraId="1B544BAD" w14:textId="77777777">
      <w:pPr>
        <w:jc w:val="both"/>
        <w:rPr>
          <w:rFonts w:ascii="Roboto" w:hAnsi="Roboto" w:eastAsia="Roboto" w:cs="Roboto"/>
          <w:sz w:val="22"/>
          <w:szCs w:val="22"/>
        </w:rPr>
      </w:pPr>
    </w:p>
    <w:p w:rsidR="00D355BD" w:rsidRDefault="00D355BD" w14:paraId="1B544BAE" w14:textId="77777777">
      <w:pPr>
        <w:jc w:val="both"/>
        <w:rPr>
          <w:rFonts w:ascii="Roboto" w:hAnsi="Roboto" w:eastAsia="Roboto" w:cs="Roboto"/>
          <w:sz w:val="22"/>
          <w:szCs w:val="22"/>
        </w:rPr>
      </w:pPr>
    </w:p>
    <w:p w:rsidR="00D355BD" w:rsidRDefault="00D355BD" w14:paraId="1B544BAF" w14:textId="77777777">
      <w:pPr>
        <w:pBdr>
          <w:bottom w:val="single" w:color="000000" w:sz="12" w:space="1"/>
        </w:pBdr>
        <w:jc w:val="both"/>
        <w:rPr>
          <w:rFonts w:ascii="Roboto" w:hAnsi="Roboto" w:eastAsia="Roboto" w:cs="Roboto"/>
          <w:color w:val="E83544"/>
          <w:sz w:val="22"/>
          <w:szCs w:val="22"/>
        </w:rPr>
      </w:pPr>
      <w:hyperlink r:id="rId15">
        <w:r>
          <w:rPr>
            <w:rFonts w:ascii="Roboto" w:hAnsi="Roboto" w:eastAsia="Roboto" w:cs="Roboto"/>
            <w:color w:val="E83544"/>
            <w:sz w:val="22"/>
            <w:szCs w:val="22"/>
            <w:u w:val="single"/>
          </w:rPr>
          <w:t>www.enac.es</w:t>
        </w:r>
      </w:hyperlink>
      <w:r w:rsidR="00B54FEC">
        <w:rPr>
          <w:rFonts w:ascii="Roboto" w:hAnsi="Roboto" w:eastAsia="Roboto" w:cs="Roboto"/>
          <w:color w:val="E83544"/>
          <w:sz w:val="22"/>
          <w:szCs w:val="22"/>
        </w:rPr>
        <w:t xml:space="preserve"> </w:t>
      </w:r>
    </w:p>
    <w:p w:rsidR="00D355BD" w:rsidRDefault="00D355BD" w14:paraId="1B544BB0" w14:textId="77777777">
      <w:pPr>
        <w:pBdr>
          <w:bottom w:val="single" w:color="000000" w:sz="12" w:space="1"/>
        </w:pBdr>
        <w:jc w:val="both"/>
        <w:rPr>
          <w:rFonts w:ascii="Roboto" w:hAnsi="Roboto" w:eastAsia="Roboto" w:cs="Roboto"/>
          <w:color w:val="E83544"/>
          <w:sz w:val="22"/>
          <w:szCs w:val="22"/>
        </w:rPr>
      </w:pPr>
    </w:p>
    <w:p w:rsidR="00D355BD" w:rsidRDefault="00B54FEC" w14:paraId="1B544BB1" w14:textId="77777777">
      <w:pPr>
        <w:pBdr>
          <w:bottom w:val="single" w:color="000000" w:sz="12" w:space="1"/>
        </w:pBdr>
        <w:jc w:val="both"/>
        <w:rPr>
          <w:rFonts w:ascii="Roboto" w:hAnsi="Roboto" w:eastAsia="Roboto" w:cs="Roboto"/>
          <w:sz w:val="22"/>
          <w:szCs w:val="22"/>
        </w:rPr>
      </w:pPr>
      <w:r>
        <w:rPr>
          <w:rFonts w:ascii="Roboto" w:hAnsi="Roboto" w:eastAsia="Roboto" w:cs="Roboto"/>
          <w:color w:val="0000FF"/>
          <w:sz w:val="22"/>
          <w:szCs w:val="22"/>
        </w:rPr>
        <w:t xml:space="preserve">  </w:t>
      </w:r>
      <w:r>
        <w:rPr>
          <w:rFonts w:ascii="Roboto" w:hAnsi="Roboto" w:eastAsia="Roboto" w:cs="Roboto"/>
          <w:noProof/>
          <w:color w:val="0000FF"/>
          <w:sz w:val="22"/>
          <w:szCs w:val="22"/>
        </w:rPr>
        <w:drawing>
          <wp:inline distT="0" distB="0" distL="0" distR="0" wp14:anchorId="1B544BBC" wp14:editId="1B544BBD">
            <wp:extent cx="304800" cy="304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304800" cy="304800"/>
                    </a:xfrm>
                    <a:prstGeom prst="rect">
                      <a:avLst/>
                    </a:prstGeom>
                    <a:ln/>
                  </pic:spPr>
                </pic:pic>
              </a:graphicData>
            </a:graphic>
          </wp:inline>
        </w:drawing>
      </w:r>
    </w:p>
    <w:p w:rsidR="00D355BD" w:rsidRDefault="00D355BD" w14:paraId="1B544BB2" w14:textId="77777777">
      <w:pPr>
        <w:pBdr>
          <w:bottom w:val="single" w:color="000000" w:sz="12" w:space="1"/>
        </w:pBdr>
        <w:jc w:val="both"/>
        <w:rPr>
          <w:rFonts w:ascii="Roboto" w:hAnsi="Roboto" w:eastAsia="Roboto" w:cs="Roboto"/>
          <w:color w:val="E83544"/>
          <w:sz w:val="22"/>
          <w:szCs w:val="22"/>
        </w:rPr>
      </w:pPr>
    </w:p>
    <w:p w:rsidR="00D355BD" w:rsidRDefault="00D355BD" w14:paraId="1B544BB3" w14:textId="77777777">
      <w:pPr>
        <w:jc w:val="both"/>
        <w:rPr>
          <w:rFonts w:ascii="Roboto" w:hAnsi="Roboto" w:eastAsia="Roboto" w:cs="Roboto"/>
          <w:color w:val="E83544"/>
          <w:sz w:val="22"/>
          <w:szCs w:val="22"/>
        </w:rPr>
      </w:pPr>
    </w:p>
    <w:p w:rsidR="00D355BD" w:rsidRDefault="00B54FEC" w14:paraId="1B544BB4" w14:textId="77777777">
      <w:pPr>
        <w:jc w:val="both"/>
        <w:rPr>
          <w:rFonts w:ascii="Roboto" w:hAnsi="Roboto" w:eastAsia="Roboto" w:cs="Roboto"/>
          <w:sz w:val="22"/>
          <w:szCs w:val="22"/>
        </w:rPr>
      </w:pPr>
      <w:r>
        <w:rPr>
          <w:rFonts w:ascii="Roboto" w:hAnsi="Roboto" w:eastAsia="Roboto" w:cs="Roboto"/>
          <w:sz w:val="22"/>
          <w:szCs w:val="22"/>
        </w:rPr>
        <w:t>Para más información sobre la nota de prensa, resolver dudas o gestionar entrevistas</w:t>
      </w:r>
    </w:p>
    <w:p w:rsidR="00D355BD" w:rsidRDefault="00B54FEC" w14:paraId="1B544BB5" w14:textId="77777777">
      <w:pPr>
        <w:jc w:val="both"/>
        <w:rPr>
          <w:rFonts w:ascii="Roboto" w:hAnsi="Roboto" w:eastAsia="Roboto" w:cs="Roboto"/>
          <w:sz w:val="22"/>
          <w:szCs w:val="22"/>
        </w:rPr>
      </w:pPr>
      <w:r>
        <w:rPr>
          <w:rFonts w:ascii="Roboto" w:hAnsi="Roboto" w:eastAsia="Roboto" w:cs="Roboto"/>
          <w:sz w:val="22"/>
          <w:szCs w:val="22"/>
        </w:rPr>
        <w:t>Eva Martín</w:t>
      </w:r>
    </w:p>
    <w:p w:rsidR="00D355BD" w:rsidRDefault="00B54FEC" w14:paraId="1B544BB6" w14:textId="77777777">
      <w:pPr>
        <w:jc w:val="both"/>
        <w:rPr>
          <w:rFonts w:ascii="Roboto" w:hAnsi="Roboto" w:eastAsia="Roboto" w:cs="Roboto"/>
          <w:sz w:val="22"/>
          <w:szCs w:val="22"/>
        </w:rPr>
      </w:pPr>
      <w:r>
        <w:rPr>
          <w:rFonts w:ascii="Roboto" w:hAnsi="Roboto" w:eastAsia="Roboto" w:cs="Roboto"/>
          <w:sz w:val="22"/>
          <w:szCs w:val="22"/>
        </w:rPr>
        <w:t xml:space="preserve">Tfno. 628 17 49 01 / </w:t>
      </w:r>
      <w:r>
        <w:rPr>
          <w:rFonts w:ascii="Roboto" w:hAnsi="Roboto" w:eastAsia="Roboto" w:cs="Roboto"/>
          <w:color w:val="E83544"/>
          <w:sz w:val="22"/>
          <w:szCs w:val="22"/>
        </w:rPr>
        <w:t xml:space="preserve"> </w:t>
      </w:r>
      <w:hyperlink r:id="rId17">
        <w:r w:rsidR="00D355BD">
          <w:rPr>
            <w:rFonts w:ascii="Roboto" w:hAnsi="Roboto" w:eastAsia="Roboto" w:cs="Roboto"/>
            <w:color w:val="E83544"/>
            <w:sz w:val="22"/>
            <w:szCs w:val="22"/>
            <w:u w:val="single"/>
          </w:rPr>
          <w:t>evamc@varenga.es</w:t>
        </w:r>
      </w:hyperlink>
    </w:p>
    <w:p w:rsidR="00D355BD" w:rsidRDefault="00D355BD" w14:paraId="1B544BB7" w14:textId="77777777">
      <w:pPr>
        <w:spacing w:after="160"/>
        <w:jc w:val="both"/>
        <w:rPr>
          <w:rFonts w:ascii="Roboto" w:hAnsi="Roboto" w:eastAsia="Roboto" w:cs="Roboto"/>
          <w:color w:val="333333"/>
          <w:sz w:val="27"/>
          <w:szCs w:val="27"/>
          <w:highlight w:val="white"/>
        </w:rPr>
      </w:pPr>
    </w:p>
    <w:p w:rsidR="00D355BD" w:rsidRDefault="00D355BD" w14:paraId="1B544BB8" w14:textId="77777777"/>
    <w:p w:rsidR="00D355BD" w:rsidRDefault="00D355BD" w14:paraId="1B544BB9" w14:textId="77777777"/>
    <w:p w:rsidR="00D355BD" w:rsidRDefault="00D355BD" w14:paraId="1B544BBA" w14:textId="77777777"/>
    <w:p w:rsidR="00D355BD" w:rsidRDefault="00D355BD" w14:paraId="1B544BBB" w14:textId="77777777">
      <w:pPr>
        <w:pBdr>
          <w:top w:val="nil"/>
          <w:left w:val="nil"/>
          <w:bottom w:val="nil"/>
          <w:right w:val="nil"/>
          <w:between w:val="nil"/>
        </w:pBdr>
        <w:rPr>
          <w:rFonts w:ascii="Calibri" w:hAnsi="Calibri" w:eastAsia="Calibri" w:cs="Calibri"/>
          <w:highlight w:val="white"/>
        </w:rPr>
      </w:pPr>
    </w:p>
    <w:sectPr w:rsidR="00D355BD">
      <w:headerReference w:type="even" r:id="rId18"/>
      <w:headerReference w:type="default" r:id="rId19"/>
      <w:footerReference w:type="even" r:id="rId20"/>
      <w:footerReference w:type="default" r:id="rId21"/>
      <w:headerReference w:type="first" r:id="rId22"/>
      <w:footerReference w:type="first" r:id="rId23"/>
      <w:pgSz w:w="11906" w:h="16838" w:orient="portrait"/>
      <w:pgMar w:top="1417" w:right="1701" w:bottom="1276" w:left="1701" w:header="708" w:footer="708" w:gutter="0"/>
      <w:pgNumType w:start="1"/>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4FEC" w:rsidRDefault="00B54FEC" w14:paraId="67F148AD" w14:textId="77777777">
      <w:r>
        <w:separator/>
      </w:r>
    </w:p>
  </w:endnote>
  <w:endnote w:type="continuationSeparator" w:id="0">
    <w:p w:rsidR="00B54FEC" w:rsidRDefault="00B54FEC" w14:paraId="3592EA0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w:fontKey="{6958C4A8-C9CA-4290-8AA0-5505C6AEAFD1}" r:id="rId1"/>
  </w:font>
  <w:font w:name="Roboto">
    <w:charset w:val="00"/>
    <w:family w:val="auto"/>
    <w:pitch w:val="variable"/>
    <w:sig w:usb0="E0000AFF" w:usb1="5000217F" w:usb2="00000021" w:usb3="00000000" w:csb0="0000019F" w:csb1="00000000"/>
    <w:embedRegular w:fontKey="{AC6F6C51-6AB2-47D9-BED7-4A50FDE10287}" r:id="rId2"/>
    <w:embedBold w:fontKey="{5CB8BA83-4AAA-45E5-B404-1742BB91F625}" r:id="rId3"/>
    <w:embedItalic w:fontKey="{8B986ED4-09E9-4ACE-B0F5-F7918DCE2CAC}" r:id="rId4"/>
    <w:embedBoldItalic w:fontKey="{6306E43D-FF09-4DD9-8307-356F182FC228}" r:id="rId5"/>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w:fontKey="{DD458D3D-A621-481D-AE76-754711E3A2B5}" r:id="rId6"/>
  </w:font>
  <w:font w:name="Cambria">
    <w:panose1 w:val="02040503050406030204"/>
    <w:charset w:val="00"/>
    <w:family w:val="roman"/>
    <w:pitch w:val="variable"/>
    <w:sig w:usb0="E00006FF" w:usb1="420024FF" w:usb2="02000000" w:usb3="00000000" w:csb0="0000019F" w:csb1="00000000"/>
    <w:embedRegular w:fontKey="{793A6926-7221-4B2A-9895-68487FC288CA}" r:id="rId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5BD" w:rsidRDefault="00D355BD" w14:paraId="1B544BC4" w14:textId="77777777">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5BD" w:rsidRDefault="00B54FEC" w14:paraId="1B544BC5" w14:textId="7E699EA9">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B40E8A">
      <w:rPr>
        <w:noProof/>
        <w:color w:val="000000"/>
      </w:rPr>
      <w:t>1</w:t>
    </w:r>
    <w:r>
      <w:rPr>
        <w:color w:val="000000"/>
      </w:rPr>
      <w:fldChar w:fldCharType="end"/>
    </w:r>
  </w:p>
  <w:p w:rsidR="00D355BD" w:rsidRDefault="00D355BD" w14:paraId="1B544BC6" w14:textId="77777777">
    <w:pPr>
      <w:pBdr>
        <w:top w:val="nil"/>
        <w:left w:val="nil"/>
        <w:bottom w:val="nil"/>
        <w:right w:val="nil"/>
        <w:between w:val="nil"/>
      </w:pBdr>
      <w:tabs>
        <w:tab w:val="center" w:pos="4252"/>
        <w:tab w:val="right" w:pos="8504"/>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5BD" w:rsidRDefault="00D355BD" w14:paraId="1B544BC8" w14:textId="77777777">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4FEC" w:rsidRDefault="00B54FEC" w14:paraId="577D2DB5" w14:textId="77777777">
      <w:r>
        <w:separator/>
      </w:r>
    </w:p>
  </w:footnote>
  <w:footnote w:type="continuationSeparator" w:id="0">
    <w:p w:rsidR="00B54FEC" w:rsidRDefault="00B54FEC" w14:paraId="17E96E5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5BD" w:rsidRDefault="00D355BD" w14:paraId="1B544BBE" w14:textId="77777777">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D355BD" w:rsidRDefault="00B54FEC" w14:paraId="1B544BBF" w14:textId="77777777">
    <w:pPr>
      <w:spacing w:line="276" w:lineRule="auto"/>
    </w:pPr>
    <w:r>
      <w:t xml:space="preserve">                                                                           </w:t>
    </w:r>
    <w:r>
      <w:rPr>
        <w:noProof/>
      </w:rPr>
      <w:drawing>
        <wp:anchor distT="0" distB="0" distL="0" distR="0" simplePos="0" relativeHeight="251658240" behindDoc="0" locked="0" layoutInCell="1" hidden="0" allowOverlap="1" wp14:anchorId="1B544BC9" wp14:editId="1B544BCA">
          <wp:simplePos x="0" y="0"/>
          <wp:positionH relativeFrom="column">
            <wp:posOffset>19050</wp:posOffset>
          </wp:positionH>
          <wp:positionV relativeFrom="paragraph">
            <wp:posOffset>19050</wp:posOffset>
          </wp:positionV>
          <wp:extent cx="1240365" cy="805879"/>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240365" cy="805879"/>
                  </a:xfrm>
                  <a:prstGeom prst="rect">
                    <a:avLst/>
                  </a:prstGeom>
                  <a:ln/>
                </pic:spPr>
              </pic:pic>
            </a:graphicData>
          </a:graphic>
        </wp:anchor>
      </w:drawing>
    </w:r>
    <w:r>
      <w:rPr>
        <w:noProof/>
      </w:rPr>
      <w:drawing>
        <wp:anchor distT="0" distB="0" distL="0" distR="0" simplePos="0" relativeHeight="251658241" behindDoc="0" locked="0" layoutInCell="1" hidden="0" allowOverlap="1" wp14:anchorId="1B544BCB" wp14:editId="1B544BCC">
          <wp:simplePos x="0" y="0"/>
          <wp:positionH relativeFrom="column">
            <wp:posOffset>4152900</wp:posOffset>
          </wp:positionH>
          <wp:positionV relativeFrom="paragraph">
            <wp:posOffset>142875</wp:posOffset>
          </wp:positionV>
          <wp:extent cx="1157297" cy="684798"/>
          <wp:effectExtent l="0" t="0" r="0" b="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t="-8" b="-8"/>
                  <a:stretch>
                    <a:fillRect/>
                  </a:stretch>
                </pic:blipFill>
                <pic:spPr>
                  <a:xfrm>
                    <a:off x="0" y="0"/>
                    <a:ext cx="1157297" cy="684798"/>
                  </a:xfrm>
                  <a:prstGeom prst="rect">
                    <a:avLst/>
                  </a:prstGeom>
                  <a:ln/>
                </pic:spPr>
              </pic:pic>
            </a:graphicData>
          </a:graphic>
        </wp:anchor>
      </w:drawing>
    </w:r>
  </w:p>
  <w:p w:rsidR="00D355BD" w:rsidRDefault="00D355BD" w14:paraId="1B544BC0" w14:textId="77777777">
    <w:pPr>
      <w:spacing w:line="276" w:lineRule="auto"/>
    </w:pPr>
  </w:p>
  <w:p w:rsidR="00D355BD" w:rsidRDefault="00D355BD" w14:paraId="1B544BC1" w14:textId="77777777">
    <w:pPr>
      <w:spacing w:line="276" w:lineRule="auto"/>
    </w:pPr>
  </w:p>
  <w:p w:rsidR="00D355BD" w:rsidRDefault="00D355BD" w14:paraId="1B544BC2" w14:textId="77777777">
    <w:pPr>
      <w:spacing w:line="276" w:lineRule="auto"/>
    </w:pPr>
  </w:p>
  <w:p w:rsidR="00D355BD" w:rsidRDefault="00D355BD" w14:paraId="1B544BC3" w14:textId="77777777">
    <w:pPr>
      <w:spacing w:line="276"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5BD" w:rsidRDefault="00D355BD" w14:paraId="1B544BC7" w14:textId="77777777">
    <w:pPr>
      <w:pBdr>
        <w:top w:val="nil"/>
        <w:left w:val="nil"/>
        <w:bottom w:val="nil"/>
        <w:right w:val="nil"/>
        <w:between w:val="nil"/>
      </w:pBdr>
      <w:tabs>
        <w:tab w:val="center" w:pos="4252"/>
        <w:tab w:val="right" w:pos="8504"/>
      </w:tabs>
      <w:rPr>
        <w:color w:val="000000"/>
      </w:rPr>
    </w:pPr>
  </w:p>
</w:hdr>
</file>

<file path=word/intelligence2.xml><?xml version="1.0" encoding="utf-8"?>
<int2:intelligence xmlns:int2="http://schemas.microsoft.com/office/intelligence/2020/intelligence">
  <int2:observations>
    <int2:bookmark int2:bookmarkName="_Int_VCBceAYB" int2:invalidationBookmarkName="" int2:hashCode="freOq/CA9iE2/R" int2:id="99Xgzgbi">
      <int2:state int2:type="styl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03410"/>
    <w:multiLevelType w:val="multilevel"/>
    <w:tmpl w:val="30BC28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82722958">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embedTrueTypeFonts/>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5BD"/>
    <w:rsid w:val="00000000"/>
    <w:rsid w:val="000327E5"/>
    <w:rsid w:val="000431A1"/>
    <w:rsid w:val="00075BD5"/>
    <w:rsid w:val="000E0862"/>
    <w:rsid w:val="00142A15"/>
    <w:rsid w:val="001B36F8"/>
    <w:rsid w:val="001C1887"/>
    <w:rsid w:val="001D77BB"/>
    <w:rsid w:val="00200767"/>
    <w:rsid w:val="00210F07"/>
    <w:rsid w:val="002826AC"/>
    <w:rsid w:val="002B7668"/>
    <w:rsid w:val="003906C7"/>
    <w:rsid w:val="003A222E"/>
    <w:rsid w:val="004327F2"/>
    <w:rsid w:val="00466072"/>
    <w:rsid w:val="004906CC"/>
    <w:rsid w:val="005C71C3"/>
    <w:rsid w:val="005D30C2"/>
    <w:rsid w:val="0070704E"/>
    <w:rsid w:val="0077106F"/>
    <w:rsid w:val="007A4EAD"/>
    <w:rsid w:val="00967F1D"/>
    <w:rsid w:val="0098088C"/>
    <w:rsid w:val="009D13AE"/>
    <w:rsid w:val="00A350DC"/>
    <w:rsid w:val="00A54256"/>
    <w:rsid w:val="00A9529C"/>
    <w:rsid w:val="00AC371A"/>
    <w:rsid w:val="00B12FB6"/>
    <w:rsid w:val="00B2141E"/>
    <w:rsid w:val="00B40E8A"/>
    <w:rsid w:val="00B54FEC"/>
    <w:rsid w:val="00C33FD1"/>
    <w:rsid w:val="00C475DA"/>
    <w:rsid w:val="00D355BD"/>
    <w:rsid w:val="00D77941"/>
    <w:rsid w:val="00D905C4"/>
    <w:rsid w:val="00DB6A4B"/>
    <w:rsid w:val="00DC1F26"/>
    <w:rsid w:val="00EA1357"/>
    <w:rsid w:val="05970CA2"/>
    <w:rsid w:val="06EF528F"/>
    <w:rsid w:val="0AA95002"/>
    <w:rsid w:val="162043E3"/>
    <w:rsid w:val="162203E8"/>
    <w:rsid w:val="163819D3"/>
    <w:rsid w:val="19194EBE"/>
    <w:rsid w:val="1F65C392"/>
    <w:rsid w:val="22AF7DC6"/>
    <w:rsid w:val="23EB8988"/>
    <w:rsid w:val="34BAA6F2"/>
    <w:rsid w:val="38B3813B"/>
    <w:rsid w:val="3CBF4933"/>
    <w:rsid w:val="3D4F4BF5"/>
    <w:rsid w:val="3D4F4BF5"/>
    <w:rsid w:val="424E9876"/>
    <w:rsid w:val="428B268B"/>
    <w:rsid w:val="466D0B81"/>
    <w:rsid w:val="4714AABE"/>
    <w:rsid w:val="486C25F3"/>
    <w:rsid w:val="4EF29E38"/>
    <w:rsid w:val="6B6E158D"/>
    <w:rsid w:val="7D9057C6"/>
    <w:rsid w:val="7DF1DDE2"/>
    <w:rsid w:val="7F03CE20"/>
    <w:rsid w:val="7F983C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44B7A"/>
  <w15:docId w15:val="{4DBD07AE-E95A-4D52-BB5D-C959A92E5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sz w:val="24"/>
        <w:szCs w:val="24"/>
        <w:lang w:val="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hAnsi="Georgia" w:eastAsia="Georgia" w:cs="Georgia"/>
      <w:i/>
      <w:iCs/>
      <w:color w:val="666666"/>
      <w:sz w:val="48"/>
      <w:szCs w:val="48"/>
    </w:rPr>
  </w:style>
  <w:style w:type="paragraph" w:styleId="Revision">
    <w:name w:val="Revision"/>
    <w:hidden/>
    <w:uiPriority w:val="99"/>
    <w:semiHidden/>
    <w:rsid w:val="00B2141E"/>
  </w:style>
  <w:style w:type="paragraph" w:styleId="Header">
    <w:name w:val="header"/>
    <w:basedOn w:val="Normal"/>
    <w:link w:val="HeaderChar"/>
    <w:uiPriority w:val="99"/>
    <w:semiHidden/>
    <w:unhideWhenUsed/>
    <w:rsid w:val="00C475DA"/>
    <w:pPr>
      <w:tabs>
        <w:tab w:val="center" w:pos="4252"/>
        <w:tab w:val="right" w:pos="8504"/>
      </w:tabs>
    </w:pPr>
  </w:style>
  <w:style w:type="character" w:styleId="HeaderChar" w:customStyle="1">
    <w:name w:val="Header Char"/>
    <w:basedOn w:val="DefaultParagraphFont"/>
    <w:link w:val="Header"/>
    <w:uiPriority w:val="99"/>
    <w:semiHidden/>
    <w:rsid w:val="00C475DA"/>
  </w:style>
  <w:style w:type="paragraph" w:styleId="Footer">
    <w:name w:val="footer"/>
    <w:basedOn w:val="Normal"/>
    <w:link w:val="FooterChar"/>
    <w:uiPriority w:val="99"/>
    <w:semiHidden/>
    <w:unhideWhenUsed/>
    <w:rsid w:val="00C475DA"/>
    <w:pPr>
      <w:tabs>
        <w:tab w:val="center" w:pos="4252"/>
        <w:tab w:val="right" w:pos="8504"/>
      </w:tabs>
    </w:pPr>
  </w:style>
  <w:style w:type="character" w:styleId="FooterChar" w:customStyle="1">
    <w:name w:val="Footer Char"/>
    <w:basedOn w:val="DefaultParagraphFont"/>
    <w:link w:val="Footer"/>
    <w:uiPriority w:val="99"/>
    <w:semiHidden/>
    <w:rsid w:val="00C475DA"/>
  </w:style>
  <w:style w:type="character" w:styleId="CommentReference">
    <w:name w:val="annotation reference"/>
    <w:basedOn w:val="DefaultParagraphFont"/>
    <w:uiPriority w:val="99"/>
    <w:semiHidden/>
    <w:unhideWhenUsed/>
    <w:rsid w:val="00A350DC"/>
    <w:rPr>
      <w:sz w:val="16"/>
      <w:szCs w:val="16"/>
    </w:rPr>
  </w:style>
  <w:style w:type="paragraph" w:styleId="CommentText">
    <w:name w:val="annotation text"/>
    <w:basedOn w:val="Normal"/>
    <w:link w:val="CommentTextChar"/>
    <w:uiPriority w:val="99"/>
    <w:unhideWhenUsed/>
    <w:rsid w:val="00A350DC"/>
    <w:rPr>
      <w:sz w:val="20"/>
      <w:szCs w:val="20"/>
    </w:rPr>
  </w:style>
  <w:style w:type="character" w:styleId="CommentTextChar" w:customStyle="1">
    <w:name w:val="Comment Text Char"/>
    <w:basedOn w:val="DefaultParagraphFont"/>
    <w:link w:val="CommentText"/>
    <w:uiPriority w:val="99"/>
    <w:rsid w:val="00A350DC"/>
    <w:rPr>
      <w:sz w:val="20"/>
      <w:szCs w:val="20"/>
    </w:rPr>
  </w:style>
  <w:style w:type="paragraph" w:styleId="CommentSubject">
    <w:name w:val="annotation subject"/>
    <w:basedOn w:val="CommentText"/>
    <w:next w:val="CommentText"/>
    <w:link w:val="CommentSubjectChar"/>
    <w:uiPriority w:val="99"/>
    <w:semiHidden/>
    <w:unhideWhenUsed/>
    <w:rsid w:val="00A350DC"/>
    <w:rPr>
      <w:b/>
      <w:bCs/>
    </w:rPr>
  </w:style>
  <w:style w:type="character" w:styleId="CommentSubjectChar" w:customStyle="1">
    <w:name w:val="Comment Subject Char"/>
    <w:basedOn w:val="CommentTextChar"/>
    <w:link w:val="CommentSubject"/>
    <w:uiPriority w:val="99"/>
    <w:semiHidden/>
    <w:rsid w:val="00A350DC"/>
    <w:rPr>
      <w:b/>
      <w:bCs/>
      <w:sz w:val="20"/>
      <w:szCs w:val="20"/>
    </w:rPr>
  </w:style>
  <w:style w:type="character" w:styleId="PlaceholderText">
    <w:uiPriority w:val="99"/>
    <w:name w:val="Placeholder Text"/>
    <w:basedOn w:val="DefaultParagraphFont"/>
    <w:semiHidden/>
    <w:rsid w:val="1F65C392"/>
    <w:rPr>
      <w:color w:val="666666"/>
    </w:rPr>
  </w:style>
  <w:style w:type="character" w:styleId="Hyperlink">
    <w:uiPriority w:val="99"/>
    <w:name w:val="Hyperlink"/>
    <w:basedOn w:val="DefaultParagraphFont"/>
    <w:unhideWhenUsed/>
    <w:rsid w:val="1F65C3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header" Target="header1.xm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hyperlink" Target="mailto:evamc@varenga.es" TargetMode="External" Id="rId17" /><Relationship Type="http://schemas.microsoft.com/office/2011/relationships/people" Target="people.xml" Id="rId25" /><Relationship Type="http://schemas.openxmlformats.org/officeDocument/2006/relationships/customXml" Target="../customXml/item2.xml" Id="rId2" /><Relationship Type="http://schemas.openxmlformats.org/officeDocument/2006/relationships/image" Target="media/image1.png"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hyperlink" Target="http://www.enac.es" TargetMode="External" Id="rId15" /><Relationship Type="http://schemas.openxmlformats.org/officeDocument/2006/relationships/footer" Target="footer3.xml" Id="rId23"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3.xml" Id="rId22" /><Relationship Type="http://schemas.openxmlformats.org/officeDocument/2006/relationships/hyperlink" Target="https://www.worldbank.org/en/publication/wdr2025" TargetMode="External" Id="Rf29b9715c9e44a0f" /><Relationship Type="http://schemas.openxmlformats.org/officeDocument/2006/relationships/hyperlink" Target="http://www.enac.es/" TargetMode="External" Id="R6058dbccd9374087" /><Relationship Type="http://schemas.microsoft.com/office/2020/10/relationships/intelligence" Target="intelligence2.xml" Id="R28f0e88cd5e743e1"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152DE15686E4843A3780C010A78B13A" ma:contentTypeVersion="16" ma:contentTypeDescription="Crear nuevo documento." ma:contentTypeScope="" ma:versionID="35b7714a55062d14d892f3522112704a">
  <xsd:schema xmlns:xsd="http://www.w3.org/2001/XMLSchema" xmlns:xs="http://www.w3.org/2001/XMLSchema" xmlns:p="http://schemas.microsoft.com/office/2006/metadata/properties" xmlns:ns2="6e290ce1-b2e7-4ccb-948d-a290ef611fa1" xmlns:ns3="909e21e3-a2e2-47ca-be0e-9c3a9bef9292" targetNamespace="http://schemas.microsoft.com/office/2006/metadata/properties" ma:root="true" ma:fieldsID="92a12215dc0792136b523b9589aa527d" ns2:_="" ns3:_="">
    <xsd:import namespace="6e290ce1-b2e7-4ccb-948d-a290ef611fa1"/>
    <xsd:import namespace="909e21e3-a2e2-47ca-be0e-9c3a9bef929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90ce1-b2e7-4ccb-948d-a290ef611f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45c5079e-b5d9-4f40-8558-acc8d9d79a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9e21e3-a2e2-47ca-be0e-9c3a9bef9292"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36efcf77-0706-4f8e-b256-a6b4bd8b1840}" ma:internalName="TaxCatchAll" ma:showField="CatchAllData" ma:web="909e21e3-a2e2-47ca-be0e-9c3a9bef92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Uo2wHuGzdBFsJfC2xw7SJkARsQ==">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</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e290ce1-b2e7-4ccb-948d-a290ef611fa1">
      <Terms xmlns="http://schemas.microsoft.com/office/infopath/2007/PartnerControls"/>
    </lcf76f155ced4ddcb4097134ff3c332f>
    <TaxCatchAll xmlns="909e21e3-a2e2-47ca-be0e-9c3a9bef9292" xsi:nil="true"/>
  </documentManagement>
</p:properties>
</file>

<file path=customXml/itemProps1.xml><?xml version="1.0" encoding="utf-8"?>
<ds:datastoreItem xmlns:ds="http://schemas.openxmlformats.org/officeDocument/2006/customXml" ds:itemID="{9BA29D04-FE6C-49E4-99DC-0C47AA52AA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90ce1-b2e7-4ccb-948d-a290ef611fa1"/>
    <ds:schemaRef ds:uri="909e21e3-a2e2-47ca-be0e-9c3a9bef92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581D4A34-1895-4A87-90BC-CCA718223CAF}">
  <ds:schemaRefs>
    <ds:schemaRef ds:uri="http://schemas.microsoft.com/sharepoint/v3/contenttype/forms"/>
  </ds:schemaRefs>
</ds:datastoreItem>
</file>

<file path=customXml/itemProps4.xml><?xml version="1.0" encoding="utf-8"?>
<ds:datastoreItem xmlns:ds="http://schemas.openxmlformats.org/officeDocument/2006/customXml" ds:itemID="{BE89AB85-87AF-471B-8A1E-8769055C938C}">
  <ds:schemaRefs>
    <ds:schemaRef ds:uri="http://schemas.microsoft.com/office/2006/metadata/properties"/>
    <ds:schemaRef ds:uri="http://schemas.microsoft.com/office/infopath/2007/PartnerControls"/>
    <ds:schemaRef ds:uri="6e290ce1-b2e7-4ccb-948d-a290ef611fa1"/>
    <ds:schemaRef ds:uri="909e21e3-a2e2-47ca-be0e-9c3a9bef929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Soledad Pacheco Alonso</dc:creator>
  <keywords/>
  <lastModifiedBy>Eva Martín</lastModifiedBy>
  <revision>24</revision>
  <dcterms:created xsi:type="dcterms:W3CDTF">2026-05-01T00:07:00.0000000Z</dcterms:created>
  <dcterms:modified xsi:type="dcterms:W3CDTF">2026-05-07T08:39:30.9049067Z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0x0101009152DE15686E4843A3780C010A78B13A</vt:lpwstr>
  </property>
  <property fmtid="{D5CDD505-2E9C-101B-9397-08002B2CF9AE}" pid="3" name="MediaServiceImageTags">
    <vt:lpwstr>MediaServiceImageTags</vt:lpwstr>
  </property>
</Properties>
</file>