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C0" w:rsidRPr="008B71C0" w:rsidRDefault="008B71C0" w:rsidP="008B71C0">
      <w:pPr>
        <w:pStyle w:val="Sinespaciado"/>
        <w:jc w:val="both"/>
        <w:rPr>
          <w:rFonts w:ascii="Tahoma" w:hAnsi="Tahoma" w:cs="Tahoma"/>
          <w:b/>
          <w:sz w:val="22"/>
          <w:szCs w:val="22"/>
        </w:rPr>
      </w:pPr>
    </w:p>
    <w:p w:rsidR="00AB1A23" w:rsidRDefault="00AB1A23" w:rsidP="00AB1A23">
      <w:pPr>
        <w:pStyle w:val="Sinespaciado"/>
        <w:jc w:val="center"/>
        <w:rPr>
          <w:rFonts w:ascii="Calibri" w:eastAsia="Calibri" w:hAnsi="Calibri" w:cs="Tahoma"/>
          <w:b/>
          <w:sz w:val="32"/>
          <w:szCs w:val="32"/>
          <w:lang w:eastAsia="en-US"/>
        </w:rPr>
      </w:pPr>
    </w:p>
    <w:p w:rsidR="00AB1A23" w:rsidRDefault="00AB1A23" w:rsidP="00AB1A23">
      <w:pPr>
        <w:pStyle w:val="Sinespaciado"/>
        <w:jc w:val="center"/>
        <w:rPr>
          <w:rFonts w:ascii="Calibri" w:eastAsia="Calibri" w:hAnsi="Calibri" w:cs="Tahoma"/>
          <w:b/>
          <w:sz w:val="32"/>
          <w:szCs w:val="32"/>
          <w:lang w:eastAsia="en-US"/>
        </w:rPr>
      </w:pPr>
    </w:p>
    <w:p w:rsidR="00AA506C" w:rsidRPr="00AB1A23" w:rsidRDefault="008B71C0" w:rsidP="00AB1A23">
      <w:pPr>
        <w:pStyle w:val="Sinespaciado"/>
        <w:jc w:val="center"/>
        <w:rPr>
          <w:rFonts w:ascii="Calibri" w:eastAsia="Calibri" w:hAnsi="Calibri" w:cs="Tahoma"/>
          <w:b/>
          <w:sz w:val="32"/>
          <w:szCs w:val="32"/>
          <w:lang w:eastAsia="en-US"/>
        </w:rPr>
      </w:pPr>
      <w:r w:rsidRPr="00AB1A23">
        <w:rPr>
          <w:rFonts w:ascii="Calibri" w:eastAsia="Calibri" w:hAnsi="Calibri" w:cs="Tahoma"/>
          <w:b/>
          <w:sz w:val="32"/>
          <w:szCs w:val="32"/>
          <w:lang w:eastAsia="en-US"/>
        </w:rPr>
        <w:t xml:space="preserve">Control y Vigilancia de los vertidos y su medio receptor. El papel de la Entidad Nacional de Acreditación </w:t>
      </w:r>
    </w:p>
    <w:p w:rsidR="008B71C0" w:rsidRDefault="008B71C0" w:rsidP="008B71C0">
      <w:pPr>
        <w:pStyle w:val="Sinespaciado"/>
        <w:jc w:val="both"/>
        <w:rPr>
          <w:rFonts w:ascii="Tahoma" w:hAnsi="Tahoma" w:cs="Tahoma"/>
          <w:b/>
          <w:sz w:val="22"/>
          <w:szCs w:val="22"/>
        </w:rPr>
      </w:pPr>
    </w:p>
    <w:p w:rsidR="00AB1A23" w:rsidRPr="008B71C0" w:rsidRDefault="00AB1A23" w:rsidP="008B71C0">
      <w:pPr>
        <w:pStyle w:val="Sinespaciado"/>
        <w:jc w:val="both"/>
        <w:rPr>
          <w:rFonts w:ascii="Tahoma" w:hAnsi="Tahoma" w:cs="Tahoma"/>
          <w:b/>
          <w:sz w:val="22"/>
          <w:szCs w:val="22"/>
        </w:rPr>
      </w:pPr>
    </w:p>
    <w:p w:rsidR="00AB1A23" w:rsidRDefault="00AB1A23" w:rsidP="00C27892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AB1A23" w:rsidRDefault="00AB1A23" w:rsidP="00C27892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C27892" w:rsidRPr="00AB1A23" w:rsidRDefault="00C27892" w:rsidP="00C27892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El agua </w:t>
      </w:r>
      <w:r w:rsidR="006969C4" w:rsidRPr="00AB1A23">
        <w:rPr>
          <w:rFonts w:ascii="Calibri" w:eastAsia="Calibri" w:hAnsi="Calibri" w:cs="Tahoma"/>
          <w:sz w:val="22"/>
          <w:szCs w:val="22"/>
          <w:lang w:eastAsia="en-US"/>
        </w:rPr>
        <w:t>es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un aspecto fundamental en el crecimiento de las sociedades. Por ello, una óptima gestión y utilización de este recurso, tan escaso y necesario para los ciudadanos, </w:t>
      </w:r>
      <w:r w:rsidR="006969C4" w:rsidRPr="00AB1A23">
        <w:rPr>
          <w:rFonts w:ascii="Calibri" w:eastAsia="Calibri" w:hAnsi="Calibri" w:cs="Tahoma"/>
          <w:sz w:val="22"/>
          <w:szCs w:val="22"/>
          <w:lang w:eastAsia="en-US"/>
        </w:rPr>
        <w:t>es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un requisito indispensable para el desarrollo humano. Todas y cada una de las fases que componen el ciclo integral del agua desde que se capta hasta que se devuelve al medio natural han de estar controladas y vigiladas; </w:t>
      </w:r>
      <w:r w:rsidR="006135AE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y, 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por ello, la regulación es cada vez mayor. Esta situación también ha provocado</w:t>
      </w:r>
      <w:r w:rsidR="00C27882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un incremento en la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demanda de servicios de análisis y de inspección acreditados, contribuyendo pues ENAC, con su actividad, a garantizar una mayor protección a las personas y al medio ambiente frente a los efectos adversos derivados de cualquier tipo de contaminación de las aguas. </w:t>
      </w:r>
    </w:p>
    <w:p w:rsidR="00C27892" w:rsidRPr="00AB1A23" w:rsidRDefault="00C27892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3A46CE" w:rsidRPr="00AB1A23" w:rsidRDefault="003A46CE" w:rsidP="00AB1A23">
      <w:pPr>
        <w:jc w:val="both"/>
        <w:rPr>
          <w:rFonts w:ascii="Calibri" w:eastAsia="Calibri" w:hAnsi="Calibri" w:cs="Tahoma"/>
          <w:sz w:val="22"/>
          <w:szCs w:val="22"/>
          <w:u w:val="single"/>
          <w:lang w:eastAsia="en-US"/>
        </w:rPr>
      </w:pPr>
      <w:r w:rsidRPr="00AB1A23">
        <w:rPr>
          <w:rFonts w:ascii="Calibri" w:eastAsia="Calibri" w:hAnsi="Calibri" w:cs="Tahoma"/>
          <w:sz w:val="22"/>
          <w:szCs w:val="22"/>
          <w:u w:val="single"/>
          <w:lang w:eastAsia="en-US"/>
        </w:rPr>
        <w:t xml:space="preserve">El apoyo legislativo </w:t>
      </w:r>
    </w:p>
    <w:p w:rsidR="003A46CE" w:rsidRPr="00AB1A23" w:rsidRDefault="003A46CE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B41BC7" w:rsidRPr="00AB1A23" w:rsidRDefault="00B41BC7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AB1A23">
        <w:rPr>
          <w:rFonts w:ascii="Calibri" w:eastAsia="Calibri" w:hAnsi="Calibri" w:cs="Tahoma"/>
          <w:sz w:val="22"/>
          <w:szCs w:val="22"/>
          <w:lang w:eastAsia="en-US"/>
        </w:rPr>
        <w:t>El texto refundido de la Ley de Aguas, aprobado por el Real Decreto Legislativo 1/2001</w:t>
      </w:r>
      <w:r w:rsidR="00F81050" w:rsidRPr="00AB1A23">
        <w:rPr>
          <w:rFonts w:ascii="Calibri" w:eastAsia="Calibri" w:hAnsi="Calibri" w:cs="Tahoma"/>
          <w:sz w:val="22"/>
          <w:szCs w:val="22"/>
          <w:lang w:eastAsia="en-US"/>
        </w:rPr>
        <w:t>,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impone a los titulares de autorizaciones de vertido </w:t>
      </w:r>
      <w:r w:rsidR="002A6365" w:rsidRPr="00AB1A23">
        <w:rPr>
          <w:rFonts w:ascii="Calibri" w:eastAsia="Calibri" w:hAnsi="Calibri" w:cs="Tahoma"/>
          <w:sz w:val="22"/>
          <w:szCs w:val="22"/>
          <w:lang w:eastAsia="en-US"/>
        </w:rPr>
        <w:t>la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obligación de informar sobre las condiciones en</w:t>
      </w:r>
      <w:r w:rsidR="00A56697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las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que realizan </w:t>
      </w:r>
      <w:r w:rsidR="00240C2C" w:rsidRPr="00AB1A23">
        <w:rPr>
          <w:rFonts w:ascii="Calibri" w:eastAsia="Calibri" w:hAnsi="Calibri" w:cs="Tahoma"/>
          <w:sz w:val="22"/>
          <w:szCs w:val="22"/>
          <w:lang w:eastAsia="en-US"/>
        </w:rPr>
        <w:t>dichos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vertidos con la finalidad de mantener un control permanente sobre </w:t>
      </w:r>
      <w:r w:rsidR="00240C2C" w:rsidRPr="00AB1A23">
        <w:rPr>
          <w:rFonts w:ascii="Calibri" w:eastAsia="Calibri" w:hAnsi="Calibri" w:cs="Tahoma"/>
          <w:sz w:val="22"/>
          <w:szCs w:val="22"/>
          <w:lang w:eastAsia="en-US"/>
        </w:rPr>
        <w:t>tales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autorizaciones. Los citados titulares de la autorización de vertido tienen</w:t>
      </w:r>
      <w:r w:rsidR="00A56697" w:rsidRPr="00AB1A23">
        <w:rPr>
          <w:rFonts w:ascii="Calibri" w:eastAsia="Calibri" w:hAnsi="Calibri" w:cs="Tahoma"/>
          <w:sz w:val="22"/>
          <w:szCs w:val="22"/>
          <w:lang w:eastAsia="en-US"/>
        </w:rPr>
        <w:t>, además,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la exigencia de presentar ante la </w:t>
      </w:r>
      <w:r w:rsidR="00BC6920" w:rsidRPr="00AB1A23">
        <w:rPr>
          <w:rFonts w:ascii="Calibri" w:eastAsia="Calibri" w:hAnsi="Calibri" w:cs="Tahoma"/>
          <w:sz w:val="22"/>
          <w:szCs w:val="22"/>
          <w:lang w:eastAsia="en-US"/>
        </w:rPr>
        <w:t>A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dministración </w:t>
      </w:r>
      <w:r w:rsidR="00BC6920" w:rsidRPr="00AB1A23">
        <w:rPr>
          <w:rFonts w:ascii="Calibri" w:eastAsia="Calibri" w:hAnsi="Calibri" w:cs="Tahoma"/>
          <w:sz w:val="22"/>
          <w:szCs w:val="22"/>
          <w:lang w:eastAsia="en-US"/>
        </w:rPr>
        <w:t>H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idráulica determinados datos que permitan comprobar que sus instalaciones de depuración</w:t>
      </w:r>
      <w:r w:rsidR="00F81050" w:rsidRPr="00AB1A23">
        <w:rPr>
          <w:rFonts w:ascii="Calibri" w:eastAsia="Calibri" w:hAnsi="Calibri" w:cs="Tahoma"/>
          <w:sz w:val="22"/>
          <w:szCs w:val="22"/>
          <w:lang w:eastAsia="en-US"/>
        </w:rPr>
        <w:t>,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y los elementos que controlan el funcionamiento de las mismas</w:t>
      </w:r>
      <w:r w:rsidR="00F81050" w:rsidRPr="00AB1A23">
        <w:rPr>
          <w:rFonts w:ascii="Calibri" w:eastAsia="Calibri" w:hAnsi="Calibri" w:cs="Tahoma"/>
          <w:sz w:val="22"/>
          <w:szCs w:val="22"/>
          <w:lang w:eastAsia="en-US"/>
        </w:rPr>
        <w:t>,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son adecuados a las normas y objetivos de calidad de las aguas que se hubieran establecido.</w:t>
      </w:r>
    </w:p>
    <w:p w:rsidR="00B41BC7" w:rsidRPr="00AB1A23" w:rsidRDefault="00B41BC7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B41BC7" w:rsidRPr="00AB1A23" w:rsidRDefault="00B41BC7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De todo esto surge la necesidad de que la administración cuente con entidades que actúen como colaboradoras en las labores de control y seguimiento de las autorizaciones otorgadas. La Orden MAM/985/2006 de 23 de marzo, por la que se desarrolla el régimen jurídico de las entidades colaboradoras de la Administración Hidráulica en materia de control y vigilancia de calidad de las aguas y de gestión de los vertidos al dominio público hidráulico, exige la acreditación de acuerdo con UNE-EN ISO/IEC 17025, si el ámbito de actuación es ensayo, y UNE-EN ISO/IEC 17020 si es inspección, para ser autorizado como entidad colaboradora </w:t>
      </w:r>
      <w:r w:rsidR="00C1759D" w:rsidRPr="00AB1A23">
        <w:rPr>
          <w:rFonts w:ascii="Calibri" w:eastAsia="Calibri" w:hAnsi="Calibri" w:cs="Tahoma"/>
          <w:sz w:val="22"/>
          <w:szCs w:val="22"/>
          <w:lang w:eastAsia="en-US"/>
        </w:rPr>
        <w:t>de la Administración Hi</w:t>
      </w:r>
      <w:r w:rsidR="00BC6920" w:rsidRPr="00AB1A23">
        <w:rPr>
          <w:rFonts w:ascii="Calibri" w:eastAsia="Calibri" w:hAnsi="Calibri" w:cs="Tahoma"/>
          <w:sz w:val="22"/>
          <w:szCs w:val="22"/>
          <w:lang w:eastAsia="en-US"/>
        </w:rPr>
        <w:t>dráulica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.</w:t>
      </w:r>
    </w:p>
    <w:p w:rsidR="00B41BC7" w:rsidRPr="00AB1A23" w:rsidRDefault="00B41BC7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AA506C" w:rsidRDefault="00AA506C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Su función es certificar la información requerida para otorgar, renovar o modificar las autorizaciones de vertido, información que debe asegurar a la Administración </w:t>
      </w:r>
      <w:r w:rsidR="00BC6920" w:rsidRPr="00AB1A23">
        <w:rPr>
          <w:rFonts w:ascii="Calibri" w:eastAsia="Calibri" w:hAnsi="Calibri" w:cs="Tahoma"/>
          <w:sz w:val="22"/>
          <w:szCs w:val="22"/>
          <w:lang w:eastAsia="en-US"/>
        </w:rPr>
        <w:t>H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idráulica la adecuación de las instalaciones de depuración y de los elementos de control</w:t>
      </w:r>
      <w:r w:rsidR="009A5504" w:rsidRPr="00AB1A23">
        <w:rPr>
          <w:rFonts w:ascii="Calibri" w:eastAsia="Calibri" w:hAnsi="Calibri" w:cs="Tahoma"/>
          <w:sz w:val="22"/>
          <w:szCs w:val="22"/>
          <w:lang w:eastAsia="en-US"/>
        </w:rPr>
        <w:t>,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y su funcionamiento a las normas y objetivos de calidad de las aguas y las condiciones cualitativas y cuantitativas de estos vertidos. As</w:t>
      </w:r>
      <w:r w:rsidR="00161A3A" w:rsidRPr="00AB1A23">
        <w:rPr>
          <w:rFonts w:ascii="Calibri" w:eastAsia="Calibri" w:hAnsi="Calibri" w:cs="Tahoma"/>
          <w:sz w:val="22"/>
          <w:szCs w:val="22"/>
          <w:lang w:eastAsia="en-US"/>
        </w:rPr>
        <w:t>i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mismo</w:t>
      </w:r>
      <w:r w:rsidR="00161A3A" w:rsidRPr="00AB1A23">
        <w:rPr>
          <w:rFonts w:ascii="Calibri" w:eastAsia="Calibri" w:hAnsi="Calibri" w:cs="Tahoma"/>
          <w:sz w:val="22"/>
          <w:szCs w:val="22"/>
          <w:lang w:eastAsia="en-US"/>
        </w:rPr>
        <w:t>,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estas entidades pueden llevar a cabo otras actividades de apoyo a la </w:t>
      </w:r>
      <w:r w:rsidR="00BC6920" w:rsidRPr="00AB1A23">
        <w:rPr>
          <w:rFonts w:ascii="Calibri" w:eastAsia="Calibri" w:hAnsi="Calibri" w:cs="Tahoma"/>
          <w:sz w:val="22"/>
          <w:szCs w:val="22"/>
          <w:lang w:eastAsia="en-US"/>
        </w:rPr>
        <w:t>A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dministración </w:t>
      </w:r>
      <w:r w:rsidR="0028396E" w:rsidRPr="00AB1A23">
        <w:rPr>
          <w:rFonts w:ascii="Calibri" w:eastAsia="Calibri" w:hAnsi="Calibri" w:cs="Tahoma"/>
          <w:sz w:val="22"/>
          <w:szCs w:val="22"/>
          <w:lang w:eastAsia="en-US"/>
        </w:rPr>
        <w:t>H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idráulica, como la realización de los programas de control de vertido, de los programas de seguimiento o la verificación del cumplimiento de los objetivos y normas de calidad ambiental establecidas para el medio receptor.</w:t>
      </w:r>
    </w:p>
    <w:p w:rsidR="00AB1A23" w:rsidRDefault="00AB1A23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AA506C" w:rsidRPr="00AB1A23" w:rsidRDefault="00AA506C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AB1A23" w:rsidRDefault="00AB1A23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AB1A23" w:rsidRDefault="00AB1A23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AB1A23" w:rsidRDefault="00AB1A23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AB1A23" w:rsidRDefault="00AB1A23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AA506C" w:rsidRPr="00AB1A23" w:rsidRDefault="00AA506C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El crecimiento cuantitativo de laboratorios y entidades de inspección acreditadas en el campo de las aguas ha ido acompañado de una evolución en cuanto al tipo de actividades, desde las más tradicionales -análisis físico-químicos y microbiológico de aguas-, hasta las más novedosas, como los análisis de </w:t>
      </w:r>
      <w:r w:rsidR="00F81050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la </w:t>
      </w:r>
      <w:r w:rsidR="002D1976" w:rsidRPr="00AB1A23">
        <w:rPr>
          <w:rFonts w:ascii="Calibri" w:eastAsia="Calibri" w:hAnsi="Calibri" w:cs="Tahoma"/>
          <w:sz w:val="22"/>
          <w:szCs w:val="22"/>
          <w:lang w:eastAsia="en-US"/>
        </w:rPr>
        <w:t>actividad radiactiva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, </w:t>
      </w:r>
      <w:r w:rsidR="002D1976" w:rsidRPr="00AB1A23">
        <w:rPr>
          <w:rFonts w:ascii="Calibri" w:eastAsia="Calibri" w:hAnsi="Calibri" w:cs="Tahoma"/>
          <w:sz w:val="22"/>
          <w:szCs w:val="22"/>
          <w:lang w:eastAsia="en-US"/>
        </w:rPr>
        <w:t>análisis para la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prev</w:t>
      </w:r>
      <w:r w:rsidR="00E174DA" w:rsidRPr="00AB1A23">
        <w:rPr>
          <w:rFonts w:ascii="Calibri" w:eastAsia="Calibri" w:hAnsi="Calibri" w:cs="Tahoma"/>
          <w:sz w:val="22"/>
          <w:szCs w:val="22"/>
          <w:lang w:eastAsia="en-US"/>
        </w:rPr>
        <w:t>ención y control de la legionel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osis, </w:t>
      </w:r>
      <w:r w:rsidR="002D1976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análisis 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de toxicidad,</w:t>
      </w:r>
      <w:r w:rsidR="002D1976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análisis 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requeridos por la Directiva </w:t>
      </w:r>
      <w:r w:rsidR="00667679" w:rsidRPr="00AB1A23">
        <w:rPr>
          <w:rFonts w:ascii="Calibri" w:eastAsia="Calibri" w:hAnsi="Calibri" w:cs="Tahoma"/>
          <w:sz w:val="22"/>
          <w:szCs w:val="22"/>
          <w:lang w:eastAsia="en-US"/>
        </w:rPr>
        <w:t>2000/60/CE o</w:t>
      </w:r>
      <w:r w:rsidR="002D1976" w:rsidRPr="00AB1A23">
        <w:rPr>
          <w:rFonts w:ascii="Calibri" w:eastAsia="Calibri" w:hAnsi="Calibri" w:cs="Tahoma"/>
          <w:sz w:val="22"/>
          <w:szCs w:val="22"/>
          <w:lang w:eastAsia="en-US"/>
        </w:rPr>
        <w:t>,</w:t>
      </w:r>
      <w:r w:rsidR="00667679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más recientemente</w:t>
      </w:r>
      <w:r w:rsidR="002D1976" w:rsidRPr="00AB1A23">
        <w:rPr>
          <w:rFonts w:ascii="Calibri" w:eastAsia="Calibri" w:hAnsi="Calibri" w:cs="Tahoma"/>
          <w:sz w:val="22"/>
          <w:szCs w:val="22"/>
          <w:lang w:eastAsia="en-US"/>
        </w:rPr>
        <w:t>,</w:t>
      </w:r>
      <w:r w:rsidR="00667679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por el R</w:t>
      </w:r>
      <w:r w:rsidR="002D1976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eal Decreto </w:t>
      </w:r>
      <w:r w:rsidR="00667679" w:rsidRPr="00AB1A23">
        <w:rPr>
          <w:rFonts w:ascii="Calibri" w:eastAsia="Calibri" w:hAnsi="Calibri" w:cs="Tahoma"/>
          <w:sz w:val="22"/>
          <w:szCs w:val="22"/>
          <w:lang w:eastAsia="en-US"/>
        </w:rPr>
        <w:t>60/2011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.</w:t>
      </w:r>
    </w:p>
    <w:p w:rsidR="00AA506C" w:rsidRPr="00AB1A23" w:rsidRDefault="00AA506C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AA506C" w:rsidRPr="00AB1A23" w:rsidRDefault="00AA506C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En </w:t>
      </w:r>
      <w:r w:rsidR="00161A3A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la 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Directiva</w:t>
      </w:r>
      <w:r w:rsidR="00161A3A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2000/60/CE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, que constituye un marco Comunitario fundamentalmente medioambiental para la protección de las aguas, se establece el concepto de "estado ecológico", como una expresión de la calidad y funcionamiento de los ecosistemas acuáticos y el uso, junto con los ya tradicionalmente usados indicadores fisicoquímicos, de diversos componentes biológicos para la clasificación del estado ecológico de l</w:t>
      </w:r>
      <w:r w:rsidR="0028396E" w:rsidRPr="00AB1A23">
        <w:rPr>
          <w:rFonts w:ascii="Calibri" w:eastAsia="Calibri" w:hAnsi="Calibri" w:cs="Tahoma"/>
          <w:sz w:val="22"/>
          <w:szCs w:val="22"/>
          <w:lang w:eastAsia="en-US"/>
        </w:rPr>
        <w:t>a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s </w:t>
      </w:r>
      <w:r w:rsidR="0028396E" w:rsidRPr="00AB1A23">
        <w:rPr>
          <w:rFonts w:ascii="Calibri" w:eastAsia="Calibri" w:hAnsi="Calibri" w:cs="Tahoma"/>
          <w:sz w:val="22"/>
          <w:szCs w:val="22"/>
          <w:lang w:eastAsia="en-US"/>
        </w:rPr>
        <w:t>aguas superficiales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, entre los cuales se encuentra la composición y abundancia de la fauna bentónica de invertebrados, para cuya determinación ya </w:t>
      </w:r>
      <w:r w:rsidR="00334BEE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existen 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acreditaciones </w:t>
      </w:r>
      <w:r w:rsidR="00F81050" w:rsidRPr="00AB1A23">
        <w:rPr>
          <w:rFonts w:ascii="Calibri" w:eastAsia="Calibri" w:hAnsi="Calibri" w:cs="Tahoma"/>
          <w:sz w:val="22"/>
          <w:szCs w:val="22"/>
          <w:lang w:eastAsia="en-US"/>
        </w:rPr>
        <w:t>en</w:t>
      </w:r>
      <w:r w:rsidR="00334BEE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ENAC. </w:t>
      </w:r>
    </w:p>
    <w:p w:rsidR="00DF14D2" w:rsidRPr="00AB1A23" w:rsidRDefault="00DF14D2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4E07EF" w:rsidRPr="00AB1A23" w:rsidRDefault="004E07EF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Por </w:t>
      </w:r>
      <w:r w:rsidR="00E73F9D" w:rsidRPr="00AB1A23">
        <w:rPr>
          <w:rFonts w:ascii="Calibri" w:eastAsia="Calibri" w:hAnsi="Calibri" w:cs="Tahoma"/>
          <w:sz w:val="22"/>
          <w:szCs w:val="22"/>
          <w:lang w:eastAsia="en-US"/>
        </w:rPr>
        <w:t>su parte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, </w:t>
      </w:r>
      <w:r w:rsidR="004A2B6F" w:rsidRPr="00AB1A23">
        <w:rPr>
          <w:rFonts w:ascii="Calibri" w:eastAsia="Calibri" w:hAnsi="Calibri" w:cs="Tahoma"/>
          <w:sz w:val="22"/>
          <w:szCs w:val="22"/>
          <w:lang w:eastAsia="en-US"/>
        </w:rPr>
        <w:t>el Real Decreto 60/2011</w:t>
      </w:r>
      <w:r w:rsidR="00E73F9D" w:rsidRPr="00AB1A23">
        <w:rPr>
          <w:rFonts w:ascii="Calibri" w:eastAsia="Calibri" w:hAnsi="Calibri" w:cs="Tahoma"/>
          <w:sz w:val="22"/>
          <w:szCs w:val="22"/>
          <w:lang w:eastAsia="en-US"/>
        </w:rPr>
        <w:t>,</w:t>
      </w:r>
      <w:r w:rsidR="004A2B6F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que </w:t>
      </w:r>
      <w:r w:rsidR="00E73F9D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incorpora </w:t>
      </w:r>
      <w:r w:rsidR="004A2B6F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la Directiva 2008/105/CE relativa a las normas de calidad ambiental para sustancias prioritarias y otros contaminantes, </w:t>
      </w:r>
      <w:r w:rsidR="00E73F9D" w:rsidRPr="00AB1A23">
        <w:rPr>
          <w:rFonts w:ascii="Calibri" w:eastAsia="Calibri" w:hAnsi="Calibri" w:cs="Tahoma"/>
          <w:sz w:val="22"/>
          <w:szCs w:val="22"/>
          <w:lang w:eastAsia="en-US"/>
        </w:rPr>
        <w:t>y</w:t>
      </w:r>
      <w:r w:rsidR="004A2B6F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la Directiva 2009/90/CE</w:t>
      </w:r>
      <w:r w:rsidR="00E73F9D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q</w:t>
      </w:r>
      <w:r w:rsidR="004A2B6F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ue establece los criterios mínimos </w:t>
      </w:r>
      <w:r w:rsidR="00FD7989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para </w:t>
      </w:r>
      <w:r w:rsidR="004A2B6F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los métodos de análisis, hace necesario 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establecer </w:t>
      </w:r>
      <w:r w:rsidR="00C66E5B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 implantar 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técnicas</w:t>
      </w:r>
      <w:r w:rsidR="004A2B6F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analíticas que permitan alcanzar </w:t>
      </w:r>
      <w:r w:rsidR="004A2B6F" w:rsidRPr="00AB1A23">
        <w:rPr>
          <w:rFonts w:ascii="Calibri" w:eastAsia="Calibri" w:hAnsi="Calibri" w:cs="Tahoma"/>
          <w:sz w:val="22"/>
          <w:szCs w:val="22"/>
          <w:lang w:eastAsia="en-US"/>
        </w:rPr>
        <w:t>los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 niveles</w:t>
      </w:r>
      <w:r w:rsidR="004A2B6F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exigidos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.</w:t>
      </w:r>
    </w:p>
    <w:p w:rsidR="004E07EF" w:rsidRPr="00AB1A23" w:rsidRDefault="004E07EF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ED482A" w:rsidRPr="00AB1A23" w:rsidRDefault="00ED482A" w:rsidP="00AB1A23">
      <w:pPr>
        <w:jc w:val="both"/>
        <w:rPr>
          <w:rFonts w:ascii="Calibri" w:eastAsia="Calibri" w:hAnsi="Calibri" w:cs="Tahoma"/>
          <w:sz w:val="22"/>
          <w:szCs w:val="22"/>
          <w:u w:val="single"/>
          <w:lang w:eastAsia="en-US"/>
        </w:rPr>
      </w:pPr>
      <w:r w:rsidRPr="00AB1A23">
        <w:rPr>
          <w:rFonts w:ascii="Calibri" w:eastAsia="Calibri" w:hAnsi="Calibri" w:cs="Tahoma"/>
          <w:sz w:val="22"/>
          <w:szCs w:val="22"/>
          <w:u w:val="single"/>
          <w:lang w:eastAsia="en-US"/>
        </w:rPr>
        <w:t xml:space="preserve">La importancia de la acreditación </w:t>
      </w:r>
    </w:p>
    <w:p w:rsidR="00ED482A" w:rsidRPr="00AB1A23" w:rsidRDefault="00ED482A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A1250E" w:rsidRPr="00AB1A23" w:rsidRDefault="00ED482A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El papel prioritario que cada vez más tiene la gestión idónea </w:t>
      </w:r>
      <w:r w:rsidR="009A5504" w:rsidRPr="00AB1A23">
        <w:rPr>
          <w:rFonts w:ascii="Calibri" w:eastAsia="Calibri" w:hAnsi="Calibri" w:cs="Tahoma"/>
          <w:sz w:val="22"/>
          <w:szCs w:val="22"/>
          <w:lang w:eastAsia="en-US"/>
        </w:rPr>
        <w:t>de los recursos hídricos, se ve refle</w:t>
      </w:r>
      <w:r w:rsidR="00385DB6" w:rsidRPr="00AB1A23">
        <w:rPr>
          <w:rFonts w:ascii="Calibri" w:eastAsia="Calibri" w:hAnsi="Calibri" w:cs="Tahoma"/>
          <w:sz w:val="22"/>
          <w:szCs w:val="22"/>
          <w:lang w:eastAsia="en-US"/>
        </w:rPr>
        <w:t>ja</w:t>
      </w:r>
      <w:r w:rsidR="009A5504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da </w:t>
      </w:r>
      <w:r w:rsidR="00C1759D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en </w:t>
      </w:r>
      <w:r w:rsidR="009A5504" w:rsidRPr="00AB1A23">
        <w:rPr>
          <w:rFonts w:ascii="Calibri" w:eastAsia="Calibri" w:hAnsi="Calibri" w:cs="Tahoma"/>
          <w:sz w:val="22"/>
          <w:szCs w:val="22"/>
          <w:lang w:eastAsia="en-US"/>
        </w:rPr>
        <w:t>e</w:t>
      </w:r>
      <w:r w:rsidR="009C190B" w:rsidRPr="00AB1A23">
        <w:rPr>
          <w:rFonts w:ascii="Calibri" w:eastAsia="Calibri" w:hAnsi="Calibri" w:cs="Tahoma"/>
          <w:sz w:val="22"/>
          <w:szCs w:val="22"/>
          <w:lang w:eastAsia="en-US"/>
        </w:rPr>
        <w:t>l</w:t>
      </w:r>
      <w:r w:rsidR="009A5504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="00C1759D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elevado </w:t>
      </w:r>
      <w:r w:rsidR="009A5504" w:rsidRPr="00AB1A23">
        <w:rPr>
          <w:rFonts w:ascii="Calibri" w:eastAsia="Calibri" w:hAnsi="Calibri" w:cs="Tahoma"/>
          <w:sz w:val="22"/>
          <w:szCs w:val="22"/>
          <w:lang w:eastAsia="en-US"/>
        </w:rPr>
        <w:t>número de entidades acr</w:t>
      </w:r>
      <w:r w:rsidR="00385DB6" w:rsidRPr="00AB1A23">
        <w:rPr>
          <w:rFonts w:ascii="Calibri" w:eastAsia="Calibri" w:hAnsi="Calibri" w:cs="Tahoma"/>
          <w:sz w:val="22"/>
          <w:szCs w:val="22"/>
          <w:lang w:eastAsia="en-US"/>
        </w:rPr>
        <w:t>e</w:t>
      </w:r>
      <w:r w:rsidR="009A5504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ditadas </w:t>
      </w:r>
      <w:r w:rsidR="00385DB6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por ENAC en </w:t>
      </w:r>
      <w:r w:rsidR="009A5504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el ámbito del </w:t>
      </w:r>
      <w:r w:rsidR="005616A5" w:rsidRPr="00AB1A23">
        <w:rPr>
          <w:rFonts w:ascii="Calibri" w:eastAsia="Calibri" w:hAnsi="Calibri" w:cs="Tahoma"/>
          <w:sz w:val="22"/>
          <w:szCs w:val="22"/>
          <w:lang w:eastAsia="en-US"/>
        </w:rPr>
        <w:t>control y vigilancia medioambiental de vertidos y medio receptor</w:t>
      </w:r>
      <w:r w:rsidR="00385DB6" w:rsidRPr="00AB1A23">
        <w:rPr>
          <w:rFonts w:ascii="Calibri" w:eastAsia="Calibri" w:hAnsi="Calibri" w:cs="Tahoma"/>
          <w:sz w:val="22"/>
          <w:szCs w:val="22"/>
          <w:lang w:eastAsia="en-US"/>
        </w:rPr>
        <w:t>. E</w:t>
      </w:r>
      <w:r w:rsidR="005616A5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n la actualidad existen </w:t>
      </w:r>
      <w:r w:rsidR="00A1250E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más de 300 laboratorios acreditados según la norma UNE-EN ISO/IEC 17025:2005 para la determinación de diferentes parámetros analíticos en </w:t>
      </w:r>
      <w:r w:rsidR="00D603D0" w:rsidRPr="00AB1A23">
        <w:rPr>
          <w:rFonts w:ascii="Calibri" w:eastAsia="Calibri" w:hAnsi="Calibri" w:cs="Tahoma"/>
          <w:sz w:val="22"/>
          <w:szCs w:val="22"/>
          <w:lang w:eastAsia="en-US"/>
        </w:rPr>
        <w:t>muestras de aguas</w:t>
      </w:r>
      <w:r w:rsidR="00640915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, sedimentos y </w:t>
      </w:r>
      <w:r w:rsidR="004E07EF" w:rsidRPr="00AB1A23">
        <w:rPr>
          <w:rFonts w:ascii="Calibri" w:eastAsia="Calibri" w:hAnsi="Calibri" w:cs="Tahoma"/>
          <w:sz w:val="22"/>
          <w:szCs w:val="22"/>
          <w:lang w:eastAsia="en-US"/>
        </w:rPr>
        <w:t>biota</w:t>
      </w:r>
      <w:r w:rsidR="005616A5" w:rsidRPr="00AB1A23">
        <w:rPr>
          <w:rFonts w:ascii="Calibri" w:eastAsia="Calibri" w:hAnsi="Calibri" w:cs="Tahoma"/>
          <w:sz w:val="22"/>
          <w:szCs w:val="22"/>
          <w:lang w:eastAsia="en-US"/>
        </w:rPr>
        <w:t>, incluyendo la toma de muestras</w:t>
      </w:r>
      <w:r w:rsidR="00D603D0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. 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Estos laboratorios dan servicio</w:t>
      </w:r>
      <w:r w:rsidR="00A1250E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como apoyo analítico a las entidades de inspección, así como a clientes privados y púbicos </w:t>
      </w:r>
      <w:r w:rsidR="00D603D0" w:rsidRPr="00AB1A23">
        <w:rPr>
          <w:rFonts w:ascii="Calibri" w:eastAsia="Calibri" w:hAnsi="Calibri" w:cs="Tahoma"/>
          <w:sz w:val="22"/>
          <w:szCs w:val="22"/>
          <w:lang w:eastAsia="en-US"/>
        </w:rPr>
        <w:t>para el control de vertidos y medio receptor</w:t>
      </w:r>
      <w:r w:rsidR="00A1250E" w:rsidRPr="00AB1A23">
        <w:rPr>
          <w:rFonts w:ascii="Calibri" w:eastAsia="Calibri" w:hAnsi="Calibri" w:cs="Tahoma"/>
          <w:sz w:val="22"/>
          <w:szCs w:val="22"/>
          <w:lang w:eastAsia="en-US"/>
        </w:rPr>
        <w:t>.</w:t>
      </w:r>
    </w:p>
    <w:p w:rsidR="00A1250E" w:rsidRPr="00AB1A23" w:rsidRDefault="00A1250E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DF14D2" w:rsidRDefault="00D603D0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También </w:t>
      </w:r>
      <w:r w:rsidR="005616A5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ENAC </w:t>
      </w:r>
      <w:r w:rsidR="00DF14D2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cuenta con más de 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3</w:t>
      </w:r>
      <w:r w:rsidR="00DF14D2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0 empresas acreditadas como entidades de inspección según los criterios de la norma UNE-EN ISO/IEC 17020:2004, en los ámbitos de 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>aguas residuales, superficiales</w:t>
      </w:r>
      <w:r w:rsidR="003B2444" w:rsidRPr="00AB1A23">
        <w:rPr>
          <w:rFonts w:ascii="Calibri" w:eastAsia="Calibri" w:hAnsi="Calibri" w:cs="Tahoma"/>
          <w:sz w:val="22"/>
          <w:szCs w:val="22"/>
          <w:lang w:eastAsia="en-US"/>
        </w:rPr>
        <w:t>,</w:t>
      </w:r>
      <w:r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subterráneas</w:t>
      </w:r>
      <w:r w:rsidR="0028396E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y</w:t>
      </w:r>
      <w:r w:rsidR="003B2444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marinas</w:t>
      </w:r>
      <w:r w:rsidR="00C1759D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, </w:t>
      </w:r>
      <w:r w:rsidR="0028396E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así como en </w:t>
      </w:r>
      <w:r w:rsidR="00C1759D" w:rsidRPr="00AB1A23">
        <w:rPr>
          <w:rFonts w:ascii="Calibri" w:eastAsia="Calibri" w:hAnsi="Calibri" w:cs="Tahoma"/>
          <w:sz w:val="22"/>
          <w:szCs w:val="22"/>
          <w:lang w:eastAsia="en-US"/>
        </w:rPr>
        <w:t>sedimentos subacuáticos y organismos acuáticos</w:t>
      </w:r>
      <w:r w:rsidR="00DF14D2" w:rsidRPr="00AB1A23">
        <w:rPr>
          <w:rFonts w:ascii="Calibri" w:eastAsia="Calibri" w:hAnsi="Calibri" w:cs="Tahoma"/>
          <w:sz w:val="22"/>
          <w:szCs w:val="22"/>
          <w:lang w:eastAsia="en-US"/>
        </w:rPr>
        <w:t>. La utilización de Entidades de Inspección Acreditadas, persigue garantizar la calidad de los estudios realizados en est</w:t>
      </w:r>
      <w:r w:rsidR="00161A3A" w:rsidRPr="00AB1A23">
        <w:rPr>
          <w:rFonts w:ascii="Calibri" w:eastAsia="Calibri" w:hAnsi="Calibri" w:cs="Tahoma"/>
          <w:sz w:val="22"/>
          <w:szCs w:val="22"/>
          <w:lang w:eastAsia="en-US"/>
        </w:rPr>
        <w:t>e</w:t>
      </w:r>
      <w:r w:rsidR="00DF14D2" w:rsidRPr="00AB1A23">
        <w:rPr>
          <w:rFonts w:ascii="Calibri" w:eastAsia="Calibri" w:hAnsi="Calibri" w:cs="Tahoma"/>
          <w:sz w:val="22"/>
          <w:szCs w:val="22"/>
          <w:lang w:eastAsia="en-US"/>
        </w:rPr>
        <w:t xml:space="preserve"> ámbito, protegiendo a las empresas ante actuaciones de entidades que no dispongan de la adecuada competencia técnica, y facilitar el trabajo de las Administraciones.</w:t>
      </w:r>
    </w:p>
    <w:p w:rsidR="00AB1A23" w:rsidRDefault="00AB1A23" w:rsidP="00AB1A23">
      <w:pPr>
        <w:jc w:val="both"/>
        <w:rPr>
          <w:rFonts w:asciiTheme="minorHAnsi" w:eastAsia="Calibri" w:hAnsiTheme="minorHAnsi" w:cs="Tahoma"/>
          <w:sz w:val="22"/>
          <w:szCs w:val="22"/>
          <w:lang w:eastAsia="en-US"/>
        </w:rPr>
      </w:pPr>
    </w:p>
    <w:p w:rsidR="00AB1A23" w:rsidRPr="00AB1A23" w:rsidRDefault="00AB1A23" w:rsidP="00AB1A23">
      <w:pPr>
        <w:jc w:val="both"/>
        <w:rPr>
          <w:rFonts w:asciiTheme="minorHAnsi" w:eastAsia="Calibri" w:hAnsiTheme="minorHAnsi" w:cs="Tahoma"/>
          <w:sz w:val="22"/>
          <w:szCs w:val="22"/>
          <w:lang w:eastAsia="en-US"/>
        </w:rPr>
      </w:pPr>
    </w:p>
    <w:p w:rsidR="00AB1A23" w:rsidRPr="00AB1A23" w:rsidRDefault="00AB1A23" w:rsidP="00AB1A23">
      <w:pPr>
        <w:pStyle w:val="Sinespaciad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AB1A23">
        <w:rPr>
          <w:rFonts w:asciiTheme="minorHAnsi" w:hAnsiTheme="minorHAnsi" w:cs="Tahoma"/>
          <w:b/>
          <w:sz w:val="22"/>
          <w:szCs w:val="22"/>
          <w:u w:val="single"/>
        </w:rPr>
        <w:t>Sobre ENAC</w:t>
      </w:r>
    </w:p>
    <w:p w:rsidR="00AB1A23" w:rsidRP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</w:rPr>
      </w:pPr>
    </w:p>
    <w:p w:rsidR="00AB1A23" w:rsidRP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</w:rPr>
      </w:pPr>
      <w:r w:rsidRPr="00AB1A23">
        <w:rPr>
          <w:rFonts w:asciiTheme="minorHAnsi" w:hAnsiTheme="minorHAnsi" w:cs="Tahoma"/>
          <w:sz w:val="22"/>
          <w:szCs w:val="22"/>
        </w:rPr>
        <w:t>La Entidad Nacional de Acreditación es la entidad designada por el Real Decreto 1715/2010 como único Organismo Nacional de Acreditación, dotado de potestad pública para otorgar acreditaciones, de acuerdo con lo establecido en el Reglamento (CE) n.º765/2008 del Parlamento Europeo y el Consejo, de 9 de Julio de 2008.</w:t>
      </w:r>
    </w:p>
    <w:p w:rsid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</w:rPr>
      </w:pPr>
    </w:p>
    <w:p w:rsid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</w:rPr>
      </w:pPr>
    </w:p>
    <w:p w:rsid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</w:rPr>
      </w:pPr>
    </w:p>
    <w:p w:rsid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</w:rPr>
      </w:pPr>
    </w:p>
    <w:p w:rsid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</w:rPr>
      </w:pPr>
    </w:p>
    <w:p w:rsidR="00AB1A23" w:rsidRP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</w:rPr>
      </w:pPr>
    </w:p>
    <w:p w:rsidR="00AB1A23" w:rsidRP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</w:rPr>
      </w:pPr>
      <w:r w:rsidRPr="00AB1A23">
        <w:rPr>
          <w:rFonts w:asciiTheme="minorHAnsi" w:hAnsiTheme="minorHAnsi" w:cs="Tahoma"/>
          <w:sz w:val="22"/>
          <w:szCs w:val="22"/>
        </w:rPr>
        <w:t xml:space="preserve">ENAC desarrolla su actividad en el ámbito estatal evaluando, a través de un sistema conforme a normas internacionales, la competencia técnica de las organizaciones que ofrecen servicios de Evaluación de la Conformidad (laboratorios, entidades de certificación e inspección, verificadores, etc.) que operen en cualquier sector, sea en el ámbito voluntario o en el obligatorio cuando reglamentariamente así se establezca. </w:t>
      </w:r>
    </w:p>
    <w:p w:rsidR="00AB1A23" w:rsidRP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</w:rPr>
      </w:pPr>
    </w:p>
    <w:p w:rsidR="00AB1A23" w:rsidRP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</w:rPr>
      </w:pPr>
      <w:r w:rsidRPr="00AB1A23">
        <w:rPr>
          <w:rFonts w:asciiTheme="minorHAnsi" w:hAnsiTheme="minorHAnsi" w:cs="Tahoma"/>
          <w:sz w:val="22"/>
          <w:szCs w:val="22"/>
        </w:rPr>
        <w:t xml:space="preserve">ENAC es el miembro español de la Infraestructura Europea de Acreditación creada por el mismo Reglamento CE nº765/2008 y, como tal, miembro de EA (European Co-operation for Accreditation), y firmante de los Acuerdos Multilaterales de Reconocimiento en materia de acreditación, suscritos por las entidades de acreditación de 60 países. </w:t>
      </w:r>
    </w:p>
    <w:p w:rsidR="00AB1A23" w:rsidRP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</w:rPr>
      </w:pPr>
    </w:p>
    <w:p w:rsidR="00AB1A23" w:rsidRPr="00AB1A23" w:rsidRDefault="00AB1A23" w:rsidP="00AB1A23">
      <w:pPr>
        <w:pStyle w:val="Sinespaciado"/>
        <w:jc w:val="both"/>
        <w:rPr>
          <w:rFonts w:asciiTheme="minorHAnsi" w:hAnsiTheme="minorHAnsi" w:cs="Tahoma"/>
          <w:sz w:val="22"/>
          <w:szCs w:val="22"/>
          <w:u w:val="single"/>
        </w:rPr>
      </w:pPr>
      <w:r w:rsidRPr="00AB1A23">
        <w:rPr>
          <w:rFonts w:asciiTheme="minorHAnsi" w:hAnsiTheme="minorHAnsi" w:cs="Tahoma"/>
          <w:sz w:val="22"/>
          <w:szCs w:val="22"/>
        </w:rPr>
        <w:t xml:space="preserve">Para más información consulte la página web de ENAC: </w:t>
      </w:r>
      <w:hyperlink r:id="rId6" w:history="1">
        <w:r w:rsidRPr="00AB1A23">
          <w:rPr>
            <w:rStyle w:val="Hipervnculo"/>
            <w:rFonts w:asciiTheme="minorHAnsi" w:hAnsiTheme="minorHAnsi" w:cs="Tahoma"/>
            <w:sz w:val="22"/>
            <w:szCs w:val="22"/>
          </w:rPr>
          <w:t>www.enac.es</w:t>
        </w:r>
      </w:hyperlink>
      <w:r w:rsidRPr="00AB1A23">
        <w:rPr>
          <w:rFonts w:asciiTheme="minorHAnsi" w:hAnsiTheme="minorHAnsi" w:cs="Tahoma"/>
          <w:sz w:val="22"/>
          <w:szCs w:val="22"/>
          <w:u w:val="single"/>
        </w:rPr>
        <w:t xml:space="preserve"> </w:t>
      </w:r>
    </w:p>
    <w:p w:rsidR="00AB1A23" w:rsidRPr="00AB1A23" w:rsidRDefault="00AB1A23" w:rsidP="00AB1A23">
      <w:pPr>
        <w:rPr>
          <w:rFonts w:asciiTheme="minorHAnsi" w:hAnsiTheme="minorHAnsi" w:cs="Tahoma"/>
          <w:sz w:val="22"/>
          <w:szCs w:val="22"/>
        </w:rPr>
      </w:pPr>
    </w:p>
    <w:p w:rsidR="00AB1A23" w:rsidRPr="00AB1A23" w:rsidRDefault="00AB1A23" w:rsidP="00AB1A23">
      <w:pPr>
        <w:rPr>
          <w:rFonts w:asciiTheme="minorHAnsi" w:hAnsiTheme="minorHAnsi" w:cs="Tahoma"/>
          <w:b/>
          <w:sz w:val="22"/>
          <w:szCs w:val="22"/>
        </w:rPr>
      </w:pPr>
    </w:p>
    <w:p w:rsidR="00AB1A23" w:rsidRPr="00AB1A23" w:rsidRDefault="00AB1A23" w:rsidP="00AB1A23">
      <w:pPr>
        <w:rPr>
          <w:rFonts w:asciiTheme="minorHAnsi" w:hAnsiTheme="minorHAnsi"/>
          <w:sz w:val="22"/>
          <w:szCs w:val="22"/>
        </w:rPr>
      </w:pPr>
      <w:r w:rsidRPr="00AB1A23">
        <w:rPr>
          <w:rFonts w:asciiTheme="minorHAnsi" w:hAnsiTheme="minorHAnsi" w:cs="Tahoma"/>
          <w:b/>
          <w:sz w:val="22"/>
          <w:szCs w:val="22"/>
        </w:rPr>
        <w:t xml:space="preserve">ENAC                                                                                                    </w:t>
      </w:r>
      <w:r>
        <w:rPr>
          <w:rFonts w:asciiTheme="minorHAnsi" w:hAnsiTheme="minorHAnsi" w:cs="Tahoma"/>
          <w:b/>
          <w:sz w:val="22"/>
          <w:szCs w:val="22"/>
        </w:rPr>
        <w:tab/>
      </w:r>
      <w:r w:rsidRPr="00AB1A23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AB1A23">
        <w:rPr>
          <w:rFonts w:asciiTheme="minorHAnsi" w:hAnsiTheme="minorHAnsi" w:cs="Tahoma"/>
          <w:b/>
          <w:sz w:val="22"/>
          <w:szCs w:val="22"/>
        </w:rPr>
        <w:tab/>
        <w:t xml:space="preserve">  Gabinete de Prensa</w:t>
      </w:r>
    </w:p>
    <w:p w:rsidR="00AB1A23" w:rsidRPr="00AB1A23" w:rsidRDefault="00AB1A23" w:rsidP="00AB1A23">
      <w:pPr>
        <w:rPr>
          <w:rFonts w:asciiTheme="minorHAnsi" w:hAnsiTheme="minorHAnsi"/>
          <w:sz w:val="22"/>
          <w:szCs w:val="22"/>
        </w:rPr>
      </w:pPr>
      <w:r w:rsidRPr="00AB1A23">
        <w:rPr>
          <w:rFonts w:asciiTheme="minorHAnsi" w:hAnsiTheme="minorHAnsi" w:cs="Tahoma"/>
          <w:sz w:val="22"/>
          <w:szCs w:val="22"/>
        </w:rPr>
        <w:t xml:space="preserve">Departamento de Comunicación                                                        </w:t>
      </w:r>
      <w:r>
        <w:rPr>
          <w:rFonts w:asciiTheme="minorHAnsi" w:hAnsiTheme="minorHAnsi" w:cs="Tahoma"/>
          <w:sz w:val="22"/>
          <w:szCs w:val="22"/>
        </w:rPr>
        <w:tab/>
      </w:r>
      <w:r w:rsidRPr="00AB1A23">
        <w:rPr>
          <w:rFonts w:asciiTheme="minorHAnsi" w:hAnsiTheme="minorHAnsi" w:cs="Tahoma"/>
          <w:sz w:val="22"/>
          <w:szCs w:val="22"/>
        </w:rPr>
        <w:t xml:space="preserve">                   Eva Martín</w:t>
      </w:r>
    </w:p>
    <w:p w:rsidR="00AB1A23" w:rsidRPr="00AB1A23" w:rsidRDefault="0081440A" w:rsidP="00AB1A23">
      <w:pPr>
        <w:rPr>
          <w:rFonts w:asciiTheme="minorHAnsi" w:hAnsiTheme="minorHAnsi" w:cs="Tahoma"/>
          <w:sz w:val="22"/>
          <w:szCs w:val="22"/>
        </w:rPr>
      </w:pPr>
      <w:hyperlink r:id="rId7" w:history="1">
        <w:r w:rsidR="00AB1A23" w:rsidRPr="00AB1A23">
          <w:rPr>
            <w:rStyle w:val="Hipervnculo"/>
            <w:rFonts w:asciiTheme="minorHAnsi" w:hAnsiTheme="minorHAnsi" w:cs="Tahoma"/>
            <w:sz w:val="22"/>
            <w:szCs w:val="22"/>
          </w:rPr>
          <w:t>comunicacion@enac.es</w:t>
        </w:r>
      </w:hyperlink>
      <w:r w:rsidR="00AB1A23" w:rsidRPr="00AB1A23">
        <w:rPr>
          <w:rFonts w:asciiTheme="minorHAnsi" w:hAnsiTheme="minorHAnsi" w:cs="Tahoma"/>
          <w:sz w:val="22"/>
          <w:szCs w:val="22"/>
        </w:rPr>
        <w:t xml:space="preserve">                                                                           </w:t>
      </w:r>
      <w:r w:rsidR="00AB1A23">
        <w:rPr>
          <w:rFonts w:asciiTheme="minorHAnsi" w:hAnsiTheme="minorHAnsi" w:cs="Tahoma"/>
          <w:sz w:val="22"/>
          <w:szCs w:val="22"/>
        </w:rPr>
        <w:tab/>
        <w:t xml:space="preserve">   </w:t>
      </w:r>
      <w:hyperlink r:id="rId8" w:history="1">
        <w:r w:rsidR="00AB1A23" w:rsidRPr="00AB1A23">
          <w:rPr>
            <w:rStyle w:val="Hipervnculo"/>
            <w:rFonts w:asciiTheme="minorHAnsi" w:hAnsiTheme="minorHAnsi" w:cs="Tahoma"/>
            <w:sz w:val="22"/>
            <w:szCs w:val="22"/>
          </w:rPr>
          <w:t>evamc@varenga.es</w:t>
        </w:r>
      </w:hyperlink>
      <w:r w:rsidR="00AB1A23" w:rsidRPr="00AB1A23">
        <w:rPr>
          <w:rFonts w:asciiTheme="minorHAnsi" w:hAnsiTheme="minorHAnsi" w:cs="Tahoma"/>
          <w:sz w:val="22"/>
          <w:szCs w:val="22"/>
        </w:rPr>
        <w:t xml:space="preserve"> </w:t>
      </w:r>
    </w:p>
    <w:p w:rsidR="00AB1A23" w:rsidRPr="00AB1A23" w:rsidRDefault="00AB1A23" w:rsidP="00AB1A23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:rsidR="00DF14D2" w:rsidRDefault="00DF14D2" w:rsidP="008B71C0">
      <w:pPr>
        <w:pStyle w:val="Sinespaciado"/>
        <w:jc w:val="both"/>
        <w:rPr>
          <w:rFonts w:ascii="Tahoma" w:hAnsi="Tahoma" w:cs="Tahoma"/>
          <w:sz w:val="22"/>
          <w:szCs w:val="22"/>
        </w:rPr>
      </w:pPr>
    </w:p>
    <w:p w:rsidR="00D20A26" w:rsidRDefault="00D20A26" w:rsidP="008B71C0">
      <w:pPr>
        <w:pStyle w:val="Sinespaciado"/>
        <w:jc w:val="both"/>
        <w:rPr>
          <w:rFonts w:ascii="Tahoma" w:hAnsi="Tahoma" w:cs="Tahoma"/>
          <w:sz w:val="22"/>
          <w:szCs w:val="22"/>
        </w:rPr>
      </w:pPr>
    </w:p>
    <w:p w:rsidR="00F30B8E" w:rsidRPr="008B71C0" w:rsidRDefault="00F30B8E" w:rsidP="008B71C0">
      <w:pPr>
        <w:pStyle w:val="Sinespaciado"/>
        <w:jc w:val="both"/>
        <w:rPr>
          <w:rFonts w:ascii="Tahoma" w:hAnsi="Tahoma" w:cs="Tahoma"/>
          <w:sz w:val="22"/>
          <w:szCs w:val="22"/>
        </w:rPr>
      </w:pPr>
    </w:p>
    <w:p w:rsidR="00F30B8E" w:rsidRPr="008B71C0" w:rsidRDefault="00F30B8E" w:rsidP="008B71C0">
      <w:pPr>
        <w:pStyle w:val="Sinespaciado"/>
        <w:jc w:val="both"/>
        <w:rPr>
          <w:rFonts w:ascii="Tahoma" w:hAnsi="Tahoma" w:cs="Tahoma"/>
          <w:sz w:val="22"/>
          <w:szCs w:val="22"/>
        </w:rPr>
      </w:pPr>
    </w:p>
    <w:p w:rsidR="00EE7D47" w:rsidRPr="008B71C0" w:rsidRDefault="00EE7D47" w:rsidP="008B71C0">
      <w:pPr>
        <w:pStyle w:val="Sinespaciado"/>
        <w:jc w:val="both"/>
        <w:rPr>
          <w:rFonts w:ascii="Tahoma" w:hAnsi="Tahoma" w:cs="Tahoma"/>
          <w:sz w:val="22"/>
          <w:szCs w:val="22"/>
        </w:rPr>
      </w:pPr>
    </w:p>
    <w:sectPr w:rsidR="00EE7D47" w:rsidRPr="008B71C0" w:rsidSect="00EE7D4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512" w:rsidRDefault="00CA3512" w:rsidP="00A56697">
      <w:r>
        <w:separator/>
      </w:r>
    </w:p>
  </w:endnote>
  <w:endnote w:type="continuationSeparator" w:id="0">
    <w:p w:rsidR="00CA3512" w:rsidRDefault="00CA3512" w:rsidP="00A56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697" w:rsidRDefault="0081440A">
    <w:pPr>
      <w:pStyle w:val="Piedepgina"/>
      <w:jc w:val="right"/>
    </w:pPr>
    <w:fldSimple w:instr=" PAGE   \* MERGEFORMAT ">
      <w:r w:rsidR="00E412C0">
        <w:rPr>
          <w:noProof/>
        </w:rPr>
        <w:t>1</w:t>
      </w:r>
    </w:fldSimple>
  </w:p>
  <w:p w:rsidR="00A56697" w:rsidRDefault="00A5669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512" w:rsidRDefault="00CA3512" w:rsidP="00A56697">
      <w:r>
        <w:separator/>
      </w:r>
    </w:p>
  </w:footnote>
  <w:footnote w:type="continuationSeparator" w:id="0">
    <w:p w:rsidR="00CA3512" w:rsidRDefault="00CA3512" w:rsidP="00A56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23" w:rsidRDefault="00E412C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5520690</wp:posOffset>
          </wp:positionH>
          <wp:positionV relativeFrom="paragraph">
            <wp:posOffset>2813685</wp:posOffset>
          </wp:positionV>
          <wp:extent cx="790575" cy="6210300"/>
          <wp:effectExtent l="19050" t="0" r="9525" b="0"/>
          <wp:wrapNone/>
          <wp:docPr id="2" name="Imagen 3" descr="25A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25A_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4820285</wp:posOffset>
          </wp:positionH>
          <wp:positionV relativeFrom="paragraph">
            <wp:posOffset>-102235</wp:posOffset>
          </wp:positionV>
          <wp:extent cx="1175385" cy="643255"/>
          <wp:effectExtent l="19050" t="0" r="5715" b="0"/>
          <wp:wrapTight wrapText="bothSides">
            <wp:wrapPolygon edited="0">
              <wp:start x="9452" y="0"/>
              <wp:lineTo x="700" y="8316"/>
              <wp:lineTo x="-350" y="21110"/>
              <wp:lineTo x="21705" y="21110"/>
              <wp:lineTo x="21705" y="8316"/>
              <wp:lineTo x="11553" y="0"/>
              <wp:lineTo x="9452" y="0"/>
            </wp:wrapPolygon>
          </wp:wrapTight>
          <wp:docPr id="1" name="Imagen 1" descr="LOGO ENAC COLOR FONDO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NAC COLOR FONDO TRANSPAR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A506C"/>
    <w:rsid w:val="00042556"/>
    <w:rsid w:val="000516F9"/>
    <w:rsid w:val="000E1678"/>
    <w:rsid w:val="00157BBB"/>
    <w:rsid w:val="00161A3A"/>
    <w:rsid w:val="002118BF"/>
    <w:rsid w:val="00240C2C"/>
    <w:rsid w:val="002600B1"/>
    <w:rsid w:val="0028130C"/>
    <w:rsid w:val="0028396E"/>
    <w:rsid w:val="00295343"/>
    <w:rsid w:val="002A6365"/>
    <w:rsid w:val="002D1976"/>
    <w:rsid w:val="002E54AA"/>
    <w:rsid w:val="00334BEE"/>
    <w:rsid w:val="00354CA2"/>
    <w:rsid w:val="00385DB6"/>
    <w:rsid w:val="003A46CE"/>
    <w:rsid w:val="003B2444"/>
    <w:rsid w:val="004A2B6F"/>
    <w:rsid w:val="004C1F13"/>
    <w:rsid w:val="004E07EF"/>
    <w:rsid w:val="005254FE"/>
    <w:rsid w:val="005616A5"/>
    <w:rsid w:val="006135AE"/>
    <w:rsid w:val="00640915"/>
    <w:rsid w:val="00662CEF"/>
    <w:rsid w:val="00667679"/>
    <w:rsid w:val="006969C4"/>
    <w:rsid w:val="006A309C"/>
    <w:rsid w:val="007578F7"/>
    <w:rsid w:val="007F1276"/>
    <w:rsid w:val="0081440A"/>
    <w:rsid w:val="008B71C0"/>
    <w:rsid w:val="00984C3B"/>
    <w:rsid w:val="00997DB1"/>
    <w:rsid w:val="009A5504"/>
    <w:rsid w:val="009C190B"/>
    <w:rsid w:val="00A1250E"/>
    <w:rsid w:val="00A56697"/>
    <w:rsid w:val="00AA506C"/>
    <w:rsid w:val="00AB1A23"/>
    <w:rsid w:val="00AC562D"/>
    <w:rsid w:val="00AF6927"/>
    <w:rsid w:val="00B11FDB"/>
    <w:rsid w:val="00B13F22"/>
    <w:rsid w:val="00B41BC7"/>
    <w:rsid w:val="00BC6920"/>
    <w:rsid w:val="00C1759D"/>
    <w:rsid w:val="00C27882"/>
    <w:rsid w:val="00C27892"/>
    <w:rsid w:val="00C66E5B"/>
    <w:rsid w:val="00CA3512"/>
    <w:rsid w:val="00D20A26"/>
    <w:rsid w:val="00D603D0"/>
    <w:rsid w:val="00DA1787"/>
    <w:rsid w:val="00DF14D2"/>
    <w:rsid w:val="00DF36F3"/>
    <w:rsid w:val="00E174DA"/>
    <w:rsid w:val="00E40518"/>
    <w:rsid w:val="00E412C0"/>
    <w:rsid w:val="00E73F9D"/>
    <w:rsid w:val="00ED482A"/>
    <w:rsid w:val="00EE74A2"/>
    <w:rsid w:val="00EE7D47"/>
    <w:rsid w:val="00F30B8E"/>
    <w:rsid w:val="00F37386"/>
    <w:rsid w:val="00F43543"/>
    <w:rsid w:val="00F555A8"/>
    <w:rsid w:val="00F61DF4"/>
    <w:rsid w:val="00F81050"/>
    <w:rsid w:val="00FD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6C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A506C"/>
    <w:pPr>
      <w:keepNext/>
      <w:ind w:left="-120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A506C"/>
    <w:rPr>
      <w:rFonts w:ascii="Arial" w:eastAsia="Times New Roman" w:hAnsi="Arial" w:cs="Arial"/>
      <w:b/>
      <w:bCs/>
      <w:lang w:eastAsia="es-ES"/>
    </w:rPr>
  </w:style>
  <w:style w:type="paragraph" w:styleId="NormalWeb">
    <w:name w:val="Normal (Web)"/>
    <w:basedOn w:val="Normal"/>
    <w:semiHidden/>
    <w:rsid w:val="00AA506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inespaciado">
    <w:name w:val="No Spacing"/>
    <w:uiPriority w:val="1"/>
    <w:qFormat/>
    <w:rsid w:val="008B71C0"/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A566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66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66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69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04255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0A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A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mc@varenga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unicacion@enac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ac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Links>
    <vt:vector size="12" baseType="variant"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http://www.enac.es/</vt:lpwstr>
      </vt:variant>
      <vt:variant>
        <vt:lpwstr/>
      </vt:variant>
      <vt:variant>
        <vt:i4>7012444</vt:i4>
      </vt:variant>
      <vt:variant>
        <vt:i4>0</vt:i4>
      </vt:variant>
      <vt:variant>
        <vt:i4>0</vt:i4>
      </vt:variant>
      <vt:variant>
        <vt:i4>5</vt:i4>
      </vt:variant>
      <vt:variant>
        <vt:lpwstr>mailto:evamc@varenga.es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Recuero</dc:creator>
  <cp:keywords/>
  <dc:description/>
  <cp:lastModifiedBy>IreneGonzalez</cp:lastModifiedBy>
  <cp:revision>2</cp:revision>
  <cp:lastPrinted>2011-08-31T09:26:00Z</cp:lastPrinted>
  <dcterms:created xsi:type="dcterms:W3CDTF">2011-11-21T08:27:00Z</dcterms:created>
  <dcterms:modified xsi:type="dcterms:W3CDTF">2011-11-21T08:27:00Z</dcterms:modified>
</cp:coreProperties>
</file>