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22A57" w14:textId="77777777" w:rsidR="0059096B" w:rsidRDefault="0059096B">
      <w:pPr>
        <w:spacing w:after="160" w:line="259" w:lineRule="auto"/>
        <w:jc w:val="both"/>
        <w:rPr>
          <w:rFonts w:ascii="Arial" w:eastAsia="Arial" w:hAnsi="Arial" w:cs="Arial"/>
          <w:b/>
        </w:rPr>
      </w:pPr>
    </w:p>
    <w:p w14:paraId="20D22A5A" w14:textId="37683080" w:rsidR="0059096B" w:rsidRDefault="002B4990" w:rsidP="28D30EC1">
      <w:pPr>
        <w:spacing w:after="160" w:line="259" w:lineRule="auto"/>
        <w:rPr>
          <w:rFonts w:ascii="Roboto" w:eastAsia="Roboto" w:hAnsi="Roboto" w:cs="Roboto"/>
          <w:b/>
          <w:bCs/>
          <w:sz w:val="33"/>
          <w:szCs w:val="33"/>
        </w:rPr>
      </w:pPr>
      <w:r w:rsidRPr="28D30EC1">
        <w:rPr>
          <w:rFonts w:ascii="Roboto" w:eastAsia="Roboto" w:hAnsi="Roboto" w:cs="Roboto"/>
          <w:b/>
          <w:bCs/>
          <w:sz w:val="33"/>
          <w:szCs w:val="33"/>
        </w:rPr>
        <w:t xml:space="preserve">ENAC, en disposición de acreditar </w:t>
      </w:r>
      <w:r w:rsidR="00A57426" w:rsidRPr="28D30EC1">
        <w:rPr>
          <w:rFonts w:ascii="Roboto" w:eastAsia="Roboto" w:hAnsi="Roboto" w:cs="Roboto"/>
          <w:b/>
          <w:bCs/>
          <w:sz w:val="33"/>
          <w:szCs w:val="33"/>
        </w:rPr>
        <w:t xml:space="preserve">a </w:t>
      </w:r>
      <w:r w:rsidR="002D0868" w:rsidRPr="28D30EC1">
        <w:rPr>
          <w:rFonts w:ascii="Roboto" w:eastAsia="Roboto" w:hAnsi="Roboto" w:cs="Roboto"/>
          <w:b/>
          <w:bCs/>
          <w:sz w:val="33"/>
          <w:szCs w:val="33"/>
        </w:rPr>
        <w:t xml:space="preserve">los </w:t>
      </w:r>
      <w:r w:rsidR="00C52313" w:rsidRPr="28D30EC1">
        <w:rPr>
          <w:rFonts w:ascii="Roboto" w:eastAsia="Roboto" w:hAnsi="Roboto" w:cs="Roboto"/>
          <w:b/>
          <w:bCs/>
          <w:sz w:val="33"/>
          <w:szCs w:val="33"/>
        </w:rPr>
        <w:t xml:space="preserve">laboratorios </w:t>
      </w:r>
      <w:r w:rsidR="002D0868" w:rsidRPr="28D30EC1">
        <w:rPr>
          <w:rFonts w:ascii="Roboto" w:eastAsia="Roboto" w:hAnsi="Roboto" w:cs="Roboto"/>
          <w:b/>
          <w:bCs/>
          <w:sz w:val="33"/>
          <w:szCs w:val="33"/>
        </w:rPr>
        <w:t>que quieran</w:t>
      </w:r>
      <w:r w:rsidR="00A821AB" w:rsidRPr="28D30EC1">
        <w:rPr>
          <w:rFonts w:ascii="Roboto" w:eastAsia="Roboto" w:hAnsi="Roboto" w:cs="Roboto"/>
          <w:b/>
          <w:bCs/>
          <w:sz w:val="33"/>
          <w:szCs w:val="33"/>
        </w:rPr>
        <w:t xml:space="preserve"> operar bajo</w:t>
      </w:r>
      <w:r w:rsidR="009B3272" w:rsidRPr="28D30EC1">
        <w:rPr>
          <w:rFonts w:ascii="Roboto" w:eastAsia="Roboto" w:hAnsi="Roboto" w:cs="Roboto"/>
          <w:b/>
          <w:bCs/>
          <w:sz w:val="33"/>
          <w:szCs w:val="33"/>
        </w:rPr>
        <w:t xml:space="preserve"> </w:t>
      </w:r>
      <w:r w:rsidRPr="28D30EC1">
        <w:rPr>
          <w:rFonts w:ascii="Roboto" w:eastAsia="Roboto" w:hAnsi="Roboto" w:cs="Roboto"/>
          <w:b/>
          <w:bCs/>
          <w:sz w:val="33"/>
          <w:szCs w:val="33"/>
        </w:rPr>
        <w:t xml:space="preserve">el nuevo esquema europeo de ciberseguridad EUCC </w:t>
      </w:r>
      <w:r w:rsidR="0059096B">
        <w:br/>
      </w:r>
    </w:p>
    <w:p w14:paraId="20D22A5B" w14:textId="7B5BDC1D" w:rsidR="0059096B" w:rsidRPr="003A227F" w:rsidRDefault="002B4990" w:rsidP="28D30EC1">
      <w:pPr>
        <w:numPr>
          <w:ilvl w:val="0"/>
          <w:numId w:val="1"/>
        </w:numPr>
        <w:pBdr>
          <w:top w:val="none" w:sz="0" w:space="0" w:color="000000"/>
          <w:bottom w:val="none" w:sz="0" w:space="0" w:color="000000"/>
          <w:right w:val="none" w:sz="0" w:space="0" w:color="000000"/>
          <w:between w:val="none" w:sz="0" w:space="0" w:color="000000"/>
        </w:pBdr>
        <w:ind w:left="1080"/>
        <w:rPr>
          <w:rFonts w:ascii="Roboto" w:eastAsia="Roboto" w:hAnsi="Roboto" w:cs="Roboto"/>
          <w:b/>
          <w:bCs/>
        </w:rPr>
      </w:pPr>
      <w:r w:rsidRPr="28D30EC1">
        <w:rPr>
          <w:rFonts w:ascii="Roboto" w:eastAsia="Roboto" w:hAnsi="Roboto" w:cs="Roboto"/>
          <w:b/>
          <w:bCs/>
          <w:sz w:val="22"/>
          <w:szCs w:val="22"/>
        </w:rPr>
        <w:t xml:space="preserve">El nuevo esquema </w:t>
      </w:r>
      <w:r w:rsidR="00FF75CB" w:rsidRPr="28D30EC1">
        <w:rPr>
          <w:rFonts w:ascii="Roboto" w:eastAsia="Roboto" w:hAnsi="Roboto" w:cs="Roboto"/>
          <w:b/>
          <w:bCs/>
          <w:sz w:val="22"/>
          <w:szCs w:val="22"/>
        </w:rPr>
        <w:t>de ciberseguridad adoptado por la Unión Europea</w:t>
      </w:r>
      <w:r w:rsidRPr="28D30EC1">
        <w:rPr>
          <w:rFonts w:ascii="Roboto" w:eastAsia="Roboto" w:hAnsi="Roboto" w:cs="Roboto"/>
          <w:b/>
          <w:bCs/>
          <w:sz w:val="22"/>
          <w:szCs w:val="22"/>
        </w:rPr>
        <w:t xml:space="preserve"> tiene como objetivo elevar el nivel de ciberseguridad de los productos, servicios y procesos de TIC en el mercado comunitario.</w:t>
      </w:r>
      <w:r>
        <w:br/>
      </w:r>
    </w:p>
    <w:p w14:paraId="2DD5B727" w14:textId="50A968C7" w:rsidR="003A227F" w:rsidRDefault="003A227F" w:rsidP="28D30EC1">
      <w:pPr>
        <w:numPr>
          <w:ilvl w:val="0"/>
          <w:numId w:val="1"/>
        </w:numPr>
        <w:pBdr>
          <w:top w:val="none" w:sz="0" w:space="0" w:color="000000"/>
          <w:bottom w:val="none" w:sz="0" w:space="0" w:color="000000"/>
          <w:right w:val="none" w:sz="0" w:space="0" w:color="000000"/>
          <w:between w:val="none" w:sz="0" w:space="0" w:color="000000"/>
        </w:pBdr>
        <w:ind w:left="1080"/>
        <w:rPr>
          <w:rFonts w:ascii="Roboto" w:eastAsia="Roboto" w:hAnsi="Roboto" w:cs="Roboto"/>
          <w:b/>
          <w:bCs/>
        </w:rPr>
      </w:pPr>
      <w:r w:rsidRPr="28D30EC1">
        <w:rPr>
          <w:rFonts w:ascii="Roboto" w:eastAsia="Roboto" w:hAnsi="Roboto" w:cs="Roboto"/>
          <w:b/>
          <w:bCs/>
          <w:sz w:val="22"/>
          <w:szCs w:val="22"/>
        </w:rPr>
        <w:t xml:space="preserve">ENAC ha trabajado con el </w:t>
      </w:r>
      <w:r w:rsidR="00FF60D0" w:rsidRPr="28D30EC1">
        <w:rPr>
          <w:rFonts w:ascii="Roboto" w:eastAsia="Roboto" w:hAnsi="Roboto" w:cs="Roboto"/>
          <w:b/>
          <w:bCs/>
          <w:sz w:val="22"/>
          <w:szCs w:val="22"/>
        </w:rPr>
        <w:t>Centro Criptológico Nacional</w:t>
      </w:r>
      <w:r w:rsidR="00FF60D0" w:rsidRPr="28D30EC1">
        <w:rPr>
          <w:rFonts w:ascii="Roboto" w:eastAsia="Roboto" w:hAnsi="Roboto" w:cs="Roboto"/>
          <w:sz w:val="22"/>
          <w:szCs w:val="22"/>
        </w:rPr>
        <w:t xml:space="preserve"> </w:t>
      </w:r>
      <w:r w:rsidR="00582A78" w:rsidRPr="28D30EC1">
        <w:rPr>
          <w:rFonts w:ascii="Roboto" w:eastAsia="Roboto" w:hAnsi="Roboto" w:cs="Roboto"/>
          <w:b/>
          <w:bCs/>
          <w:sz w:val="22"/>
          <w:szCs w:val="22"/>
        </w:rPr>
        <w:t xml:space="preserve">en la preparación </w:t>
      </w:r>
      <w:r w:rsidR="00160EDD" w:rsidRPr="28D30EC1">
        <w:rPr>
          <w:rFonts w:ascii="Roboto" w:eastAsia="Roboto" w:hAnsi="Roboto" w:cs="Roboto"/>
          <w:b/>
          <w:bCs/>
          <w:sz w:val="22"/>
          <w:szCs w:val="22"/>
        </w:rPr>
        <w:t xml:space="preserve">de los procesos de evaluación </w:t>
      </w:r>
      <w:r w:rsidR="00582A78" w:rsidRPr="28D30EC1">
        <w:rPr>
          <w:rFonts w:ascii="Roboto" w:eastAsia="Roboto" w:hAnsi="Roboto" w:cs="Roboto"/>
          <w:b/>
          <w:bCs/>
          <w:sz w:val="22"/>
          <w:szCs w:val="22"/>
        </w:rPr>
        <w:t>para que el mercado español cuente con laboratorios acreditado</w:t>
      </w:r>
      <w:r w:rsidR="00160EDD" w:rsidRPr="28D30EC1">
        <w:rPr>
          <w:rFonts w:ascii="Roboto" w:eastAsia="Roboto" w:hAnsi="Roboto" w:cs="Roboto"/>
          <w:b/>
          <w:bCs/>
          <w:sz w:val="22"/>
          <w:szCs w:val="22"/>
        </w:rPr>
        <w:t>s en el meno</w:t>
      </w:r>
      <w:r w:rsidR="00050991" w:rsidRPr="28D30EC1">
        <w:rPr>
          <w:rFonts w:ascii="Roboto" w:eastAsia="Roboto" w:hAnsi="Roboto" w:cs="Roboto"/>
          <w:b/>
          <w:bCs/>
          <w:sz w:val="22"/>
          <w:szCs w:val="22"/>
        </w:rPr>
        <w:t>r</w:t>
      </w:r>
      <w:r w:rsidR="00160EDD" w:rsidRPr="28D30EC1">
        <w:rPr>
          <w:rFonts w:ascii="Roboto" w:eastAsia="Roboto" w:hAnsi="Roboto" w:cs="Roboto"/>
          <w:b/>
          <w:bCs/>
          <w:sz w:val="22"/>
          <w:szCs w:val="22"/>
        </w:rPr>
        <w:t xml:space="preserve"> tiempo posible.</w:t>
      </w:r>
    </w:p>
    <w:p w14:paraId="20D22A5C" w14:textId="77777777" w:rsidR="0059096B" w:rsidRDefault="0059096B">
      <w:pPr>
        <w:pBdr>
          <w:top w:val="none" w:sz="0" w:space="0" w:color="000000"/>
          <w:bottom w:val="none" w:sz="0" w:space="0" w:color="000000"/>
          <w:right w:val="none" w:sz="0" w:space="0" w:color="000000"/>
          <w:between w:val="none" w:sz="0" w:space="0" w:color="000000"/>
        </w:pBdr>
        <w:ind w:left="720"/>
        <w:jc w:val="both"/>
        <w:rPr>
          <w:rFonts w:ascii="Roboto" w:eastAsia="Roboto" w:hAnsi="Roboto" w:cs="Roboto"/>
          <w:b/>
          <w:sz w:val="22"/>
          <w:szCs w:val="22"/>
        </w:rPr>
      </w:pPr>
    </w:p>
    <w:p w14:paraId="20D22A5D" w14:textId="50CE630D" w:rsidR="0059096B" w:rsidRDefault="002B4990">
      <w:pPr>
        <w:jc w:val="both"/>
        <w:rPr>
          <w:rFonts w:ascii="Roboto" w:eastAsia="Roboto" w:hAnsi="Roboto" w:cs="Roboto"/>
          <w:sz w:val="22"/>
          <w:szCs w:val="22"/>
        </w:rPr>
      </w:pPr>
      <w:r>
        <w:rPr>
          <w:rFonts w:ascii="Roboto" w:eastAsia="Roboto" w:hAnsi="Roboto" w:cs="Roboto"/>
          <w:sz w:val="22"/>
          <w:szCs w:val="22"/>
        </w:rPr>
        <w:t xml:space="preserve">Madrid, </w:t>
      </w:r>
      <w:r w:rsidR="508FE3F0" w:rsidRPr="28D30EC1">
        <w:rPr>
          <w:rFonts w:ascii="Roboto" w:eastAsia="Roboto" w:hAnsi="Roboto" w:cs="Roboto"/>
          <w:sz w:val="22"/>
          <w:szCs w:val="22"/>
        </w:rPr>
        <w:t>15</w:t>
      </w:r>
      <w:r w:rsidRPr="28D30EC1">
        <w:rPr>
          <w:rFonts w:ascii="Roboto" w:eastAsia="Roboto" w:hAnsi="Roboto" w:cs="Roboto"/>
          <w:sz w:val="22"/>
          <w:szCs w:val="22"/>
        </w:rPr>
        <w:t xml:space="preserve"> de febrero de 2024.- </w:t>
      </w:r>
      <w:r w:rsidR="00B7359B">
        <w:rPr>
          <w:rFonts w:ascii="Roboto" w:eastAsia="Roboto" w:hAnsi="Roboto" w:cs="Roboto"/>
          <w:sz w:val="22"/>
          <w:szCs w:val="22"/>
        </w:rPr>
        <w:t>Tras la reciente p</w:t>
      </w:r>
      <w:r w:rsidR="00593CC8">
        <w:rPr>
          <w:rFonts w:ascii="Roboto" w:eastAsia="Roboto" w:hAnsi="Roboto" w:cs="Roboto"/>
          <w:sz w:val="22"/>
          <w:szCs w:val="22"/>
        </w:rPr>
        <w:t>ublicación de</w:t>
      </w:r>
      <w:r w:rsidR="48D2A41C">
        <w:rPr>
          <w:rFonts w:ascii="Roboto" w:eastAsia="Roboto" w:hAnsi="Roboto" w:cs="Roboto"/>
          <w:sz w:val="22"/>
          <w:szCs w:val="22"/>
        </w:rPr>
        <w:t>l</w:t>
      </w:r>
      <w:r w:rsidR="00593CC8">
        <w:rPr>
          <w:rFonts w:ascii="Roboto" w:eastAsia="Roboto" w:hAnsi="Roboto" w:cs="Roboto"/>
          <w:sz w:val="22"/>
          <w:szCs w:val="22"/>
        </w:rPr>
        <w:t xml:space="preserve"> </w:t>
      </w:r>
      <w:hyperlink r:id="rId10">
        <w:r w:rsidR="00B7359B">
          <w:rPr>
            <w:rFonts w:ascii="Roboto" w:eastAsia="Roboto" w:hAnsi="Roboto" w:cs="Roboto"/>
            <w:color w:val="0000FF"/>
            <w:sz w:val="21"/>
            <w:szCs w:val="21"/>
            <w:u w:val="single"/>
          </w:rPr>
          <w:t xml:space="preserve">primer esquema de certificación de ciberseguridad adoptado en la </w:t>
        </w:r>
      </w:hyperlink>
      <w:hyperlink r:id="rId11" w:history="1">
        <w:r w:rsidR="00B7359B">
          <w:rPr>
            <w:rFonts w:ascii="Roboto" w:eastAsia="Roboto" w:hAnsi="Roboto" w:cs="Roboto"/>
            <w:color w:val="0000FF"/>
            <w:sz w:val="21"/>
            <w:szCs w:val="21"/>
            <w:u w:val="single"/>
          </w:rPr>
          <w:t>Unión Europea (</w:t>
        </w:r>
      </w:hyperlink>
      <w:hyperlink r:id="rId12">
        <w:r w:rsidR="00B7359B">
          <w:rPr>
            <w:rFonts w:ascii="Roboto" w:eastAsia="Roboto" w:hAnsi="Roboto" w:cs="Roboto"/>
            <w:color w:val="0000FF"/>
            <w:sz w:val="21"/>
            <w:szCs w:val="21"/>
            <w:u w:val="single"/>
          </w:rPr>
          <w:t>UE</w:t>
        </w:r>
      </w:hyperlink>
      <w:r w:rsidR="00B7359B">
        <w:rPr>
          <w:rFonts w:ascii="Roboto" w:eastAsia="Roboto" w:hAnsi="Roboto" w:cs="Roboto"/>
          <w:color w:val="0000FF"/>
          <w:sz w:val="21"/>
          <w:szCs w:val="21"/>
          <w:u w:val="single"/>
        </w:rPr>
        <w:t>)</w:t>
      </w:r>
      <w:r w:rsidR="00B7359B">
        <w:rPr>
          <w:rFonts w:ascii="Roboto" w:eastAsia="Roboto" w:hAnsi="Roboto" w:cs="Roboto"/>
          <w:sz w:val="22"/>
          <w:szCs w:val="22"/>
        </w:rPr>
        <w:t xml:space="preserve"> dentro del marco del Reglamento (UE) 2019/881 </w:t>
      </w:r>
      <w:r w:rsidR="00593CC8">
        <w:rPr>
          <w:rFonts w:ascii="Roboto" w:eastAsia="Roboto" w:hAnsi="Roboto" w:cs="Roboto"/>
          <w:sz w:val="22"/>
          <w:szCs w:val="22"/>
        </w:rPr>
        <w:t>(</w:t>
      </w:r>
      <w:r w:rsidR="004A639A">
        <w:rPr>
          <w:rFonts w:ascii="Roboto" w:eastAsia="Roboto" w:hAnsi="Roboto" w:cs="Roboto"/>
          <w:sz w:val="22"/>
          <w:szCs w:val="22"/>
        </w:rPr>
        <w:t xml:space="preserve">conocido como </w:t>
      </w:r>
      <w:proofErr w:type="spellStart"/>
      <w:r w:rsidR="00B7359B" w:rsidRPr="28D30EC1">
        <w:rPr>
          <w:rFonts w:ascii="Roboto" w:eastAsia="Roboto" w:hAnsi="Roboto" w:cs="Roboto"/>
          <w:sz w:val="22"/>
          <w:szCs w:val="22"/>
        </w:rPr>
        <w:t>Cybersecurity</w:t>
      </w:r>
      <w:proofErr w:type="spellEnd"/>
      <w:r w:rsidR="00B7359B" w:rsidRPr="28D30EC1">
        <w:rPr>
          <w:rFonts w:ascii="Roboto" w:eastAsia="Roboto" w:hAnsi="Roboto" w:cs="Roboto"/>
          <w:sz w:val="22"/>
          <w:szCs w:val="22"/>
        </w:rPr>
        <w:t xml:space="preserve"> </w:t>
      </w:r>
      <w:proofErr w:type="spellStart"/>
      <w:r w:rsidR="00B7359B">
        <w:rPr>
          <w:rFonts w:ascii="Roboto" w:eastAsia="Roboto" w:hAnsi="Roboto" w:cs="Roboto"/>
          <w:sz w:val="22"/>
          <w:szCs w:val="22"/>
        </w:rPr>
        <w:t>Ac</w:t>
      </w:r>
      <w:r w:rsidR="00121372" w:rsidRPr="28D30EC1">
        <w:rPr>
          <w:rFonts w:ascii="Roboto" w:eastAsia="Roboto" w:hAnsi="Roboto" w:cs="Roboto"/>
          <w:sz w:val="22"/>
          <w:szCs w:val="22"/>
        </w:rPr>
        <w:t>t</w:t>
      </w:r>
      <w:proofErr w:type="spellEnd"/>
      <w:r w:rsidR="00121372">
        <w:rPr>
          <w:rFonts w:ascii="Roboto" w:eastAsia="Roboto" w:hAnsi="Roboto" w:cs="Roboto"/>
          <w:sz w:val="22"/>
          <w:szCs w:val="22"/>
        </w:rPr>
        <w:t>), l</w:t>
      </w:r>
      <w:r>
        <w:rPr>
          <w:rFonts w:ascii="Roboto" w:eastAsia="Roboto" w:hAnsi="Roboto" w:cs="Roboto"/>
          <w:sz w:val="22"/>
          <w:szCs w:val="22"/>
        </w:rPr>
        <w:t xml:space="preserve">a </w:t>
      </w:r>
      <w:hyperlink r:id="rId13" w:history="1">
        <w:r w:rsidRPr="008C4AD2">
          <w:rPr>
            <w:rStyle w:val="Hipervnculo"/>
            <w:rFonts w:ascii="Roboto" w:eastAsia="Roboto" w:hAnsi="Roboto" w:cs="Roboto"/>
            <w:sz w:val="22"/>
            <w:szCs w:val="22"/>
          </w:rPr>
          <w:t>Entidad Nacional de Acreditación (ENAC)</w:t>
        </w:r>
      </w:hyperlink>
      <w:r w:rsidR="00121372">
        <w:rPr>
          <w:rFonts w:ascii="Roboto" w:eastAsia="Roboto" w:hAnsi="Roboto" w:cs="Roboto"/>
          <w:sz w:val="22"/>
          <w:szCs w:val="22"/>
        </w:rPr>
        <w:t xml:space="preserve"> anuncia que</w:t>
      </w:r>
      <w:r>
        <w:rPr>
          <w:rFonts w:ascii="Roboto" w:eastAsia="Roboto" w:hAnsi="Roboto" w:cs="Roboto"/>
          <w:sz w:val="22"/>
          <w:szCs w:val="22"/>
        </w:rPr>
        <w:t xml:space="preserve"> está en disposición de acreditar </w:t>
      </w:r>
      <w:r w:rsidR="00741499">
        <w:rPr>
          <w:rFonts w:ascii="Roboto" w:eastAsia="Roboto" w:hAnsi="Roboto" w:cs="Roboto"/>
          <w:sz w:val="22"/>
          <w:szCs w:val="22"/>
        </w:rPr>
        <w:t>a laboratorios</w:t>
      </w:r>
      <w:r>
        <w:rPr>
          <w:rFonts w:ascii="Roboto" w:eastAsia="Roboto" w:hAnsi="Roboto" w:cs="Roboto"/>
          <w:sz w:val="22"/>
          <w:szCs w:val="22"/>
        </w:rPr>
        <w:t xml:space="preserve"> </w:t>
      </w:r>
      <w:r w:rsidR="00737C98">
        <w:rPr>
          <w:rFonts w:ascii="Roboto" w:eastAsia="Roboto" w:hAnsi="Roboto" w:cs="Roboto"/>
          <w:sz w:val="22"/>
          <w:szCs w:val="22"/>
        </w:rPr>
        <w:t>de acuerdo a</w:t>
      </w:r>
      <w:r>
        <w:rPr>
          <w:rFonts w:ascii="Roboto" w:eastAsia="Roboto" w:hAnsi="Roboto" w:cs="Roboto"/>
          <w:sz w:val="22"/>
          <w:szCs w:val="22"/>
        </w:rPr>
        <w:t xml:space="preserve"> los requisitos del nuevo esquema europeo basado en </w:t>
      </w:r>
      <w:proofErr w:type="spellStart"/>
      <w:r>
        <w:rPr>
          <w:rFonts w:ascii="Roboto" w:eastAsia="Roboto" w:hAnsi="Roboto" w:cs="Roboto"/>
          <w:sz w:val="22"/>
          <w:szCs w:val="22"/>
        </w:rPr>
        <w:t>Common</w:t>
      </w:r>
      <w:proofErr w:type="spellEnd"/>
      <w:r>
        <w:rPr>
          <w:rFonts w:ascii="Roboto" w:eastAsia="Roboto" w:hAnsi="Roboto" w:cs="Roboto"/>
          <w:sz w:val="22"/>
          <w:szCs w:val="22"/>
        </w:rPr>
        <w:t xml:space="preserve"> </w:t>
      </w:r>
      <w:proofErr w:type="spellStart"/>
      <w:r>
        <w:rPr>
          <w:rFonts w:ascii="Roboto" w:eastAsia="Roboto" w:hAnsi="Roboto" w:cs="Roboto"/>
          <w:sz w:val="22"/>
          <w:szCs w:val="22"/>
        </w:rPr>
        <w:t>Criteria</w:t>
      </w:r>
      <w:proofErr w:type="spellEnd"/>
      <w:r>
        <w:rPr>
          <w:rFonts w:ascii="Roboto" w:eastAsia="Roboto" w:hAnsi="Roboto" w:cs="Roboto"/>
          <w:sz w:val="22"/>
          <w:szCs w:val="22"/>
        </w:rPr>
        <w:t xml:space="preserve"> (EUCC), elaborado por la </w:t>
      </w:r>
      <w:r w:rsidR="008C4AD2" w:rsidRPr="008C4AD2">
        <w:rPr>
          <w:rFonts w:ascii="Roboto" w:eastAsia="Roboto" w:hAnsi="Roboto" w:cs="Roboto"/>
          <w:sz w:val="22"/>
          <w:szCs w:val="22"/>
        </w:rPr>
        <w:t>Agencia de Ciberseguridad de la Unión Europea (ENISA)</w:t>
      </w:r>
      <w:r w:rsidRPr="008C4AD2">
        <w:rPr>
          <w:rFonts w:ascii="Roboto" w:eastAsia="Roboto" w:hAnsi="Roboto" w:cs="Roboto"/>
          <w:sz w:val="22"/>
          <w:szCs w:val="22"/>
        </w:rPr>
        <w:t xml:space="preserve">. </w:t>
      </w:r>
      <w:r>
        <w:rPr>
          <w:rFonts w:ascii="Roboto" w:eastAsia="Roboto" w:hAnsi="Roboto" w:cs="Roboto"/>
          <w:sz w:val="22"/>
          <w:szCs w:val="22"/>
        </w:rPr>
        <w:t xml:space="preserve"> </w:t>
      </w:r>
    </w:p>
    <w:p w14:paraId="20D22A5E" w14:textId="77777777" w:rsidR="0059096B" w:rsidRDefault="0059096B">
      <w:pPr>
        <w:jc w:val="both"/>
        <w:rPr>
          <w:rFonts w:ascii="Roboto" w:eastAsia="Roboto" w:hAnsi="Roboto" w:cs="Roboto"/>
          <w:sz w:val="22"/>
          <w:szCs w:val="22"/>
        </w:rPr>
      </w:pPr>
    </w:p>
    <w:p w14:paraId="20D22A5F" w14:textId="45ACEDFB" w:rsidR="0059096B" w:rsidRDefault="002B4990">
      <w:pPr>
        <w:spacing w:after="150"/>
        <w:jc w:val="both"/>
        <w:rPr>
          <w:rFonts w:ascii="Roboto" w:eastAsia="Roboto" w:hAnsi="Roboto" w:cs="Roboto"/>
          <w:sz w:val="22"/>
          <w:szCs w:val="22"/>
        </w:rPr>
      </w:pPr>
      <w:r w:rsidRPr="5A7F2380">
        <w:rPr>
          <w:rFonts w:ascii="Roboto" w:eastAsia="Roboto" w:hAnsi="Roboto" w:cs="Roboto"/>
          <w:sz w:val="22"/>
          <w:szCs w:val="22"/>
        </w:rPr>
        <w:t xml:space="preserve">El nuevo esquema de la UE tiene como </w:t>
      </w:r>
      <w:r w:rsidRPr="5A7F2380">
        <w:rPr>
          <w:rFonts w:ascii="Roboto" w:eastAsia="Roboto" w:hAnsi="Roboto" w:cs="Roboto"/>
          <w:b/>
          <w:bCs/>
          <w:sz w:val="22"/>
          <w:szCs w:val="22"/>
        </w:rPr>
        <w:t>objetivo elevar el nivel de ciberseguridad de los productos, servicios y procesos de TIC en el mercado comunitario</w:t>
      </w:r>
      <w:r w:rsidRPr="5A7F2380">
        <w:rPr>
          <w:rFonts w:ascii="Roboto" w:eastAsia="Roboto" w:hAnsi="Roboto" w:cs="Roboto"/>
          <w:sz w:val="22"/>
          <w:szCs w:val="22"/>
        </w:rPr>
        <w:t>. En concreto, este esquema permite a los proveedores del sector que deseen</w:t>
      </w:r>
      <w:r w:rsidRPr="5A7F2380">
        <w:rPr>
          <w:rFonts w:ascii="Roboto" w:eastAsia="Roboto" w:hAnsi="Roboto" w:cs="Roboto"/>
          <w:sz w:val="22"/>
          <w:szCs w:val="22"/>
          <w:highlight w:val="white"/>
        </w:rPr>
        <w:t xml:space="preserve"> demostrar la seguridad de sus productos TIC, tales como componentes tecnológicos (chips, tarjetas inteligentes), hardware y software, someterse a un proceso de evaluación común de la UE para certificar estos productos.</w:t>
      </w:r>
    </w:p>
    <w:p w14:paraId="20D22A60" w14:textId="196392E3" w:rsidR="0059096B" w:rsidRDefault="002B4990">
      <w:pPr>
        <w:jc w:val="both"/>
        <w:rPr>
          <w:rFonts w:ascii="Roboto" w:eastAsia="Roboto" w:hAnsi="Roboto" w:cs="Roboto"/>
          <w:sz w:val="22"/>
          <w:szCs w:val="22"/>
        </w:rPr>
      </w:pPr>
      <w:r w:rsidRPr="7A3C141B">
        <w:rPr>
          <w:rFonts w:ascii="Roboto" w:eastAsia="Roboto" w:hAnsi="Roboto" w:cs="Roboto"/>
          <w:sz w:val="22"/>
          <w:szCs w:val="22"/>
        </w:rPr>
        <w:t xml:space="preserve">El esquema es el resultado de un intenso trabajo desarrollado </w:t>
      </w:r>
      <w:r w:rsidR="00BC2DF3" w:rsidRPr="7A3C141B">
        <w:rPr>
          <w:rFonts w:ascii="Roboto" w:eastAsia="Roboto" w:hAnsi="Roboto" w:cs="Roboto"/>
          <w:sz w:val="22"/>
          <w:szCs w:val="22"/>
        </w:rPr>
        <w:t xml:space="preserve">en el seno </w:t>
      </w:r>
      <w:r w:rsidRPr="7A3C141B">
        <w:rPr>
          <w:rFonts w:ascii="Roboto" w:eastAsia="Roboto" w:hAnsi="Roboto" w:cs="Roboto"/>
          <w:sz w:val="22"/>
          <w:szCs w:val="22"/>
        </w:rPr>
        <w:t>de ENISA y en el que ENAC ha desempeñado</w:t>
      </w:r>
      <w:r w:rsidR="00BC2DF3" w:rsidRPr="7A3C141B">
        <w:rPr>
          <w:rFonts w:ascii="Roboto" w:eastAsia="Roboto" w:hAnsi="Roboto" w:cs="Roboto"/>
          <w:sz w:val="22"/>
          <w:szCs w:val="22"/>
        </w:rPr>
        <w:t xml:space="preserve"> </w:t>
      </w:r>
      <w:r w:rsidRPr="7A3C141B">
        <w:rPr>
          <w:rFonts w:ascii="Roboto" w:eastAsia="Roboto" w:hAnsi="Roboto" w:cs="Roboto"/>
          <w:sz w:val="22"/>
          <w:szCs w:val="22"/>
        </w:rPr>
        <w:t xml:space="preserve">un papel protagonista como miembro de la representación de </w:t>
      </w:r>
      <w:proofErr w:type="spellStart"/>
      <w:r w:rsidR="5F9F0AB5" w:rsidRPr="7A3C141B">
        <w:rPr>
          <w:rFonts w:ascii="Roboto" w:eastAsia="Roboto" w:hAnsi="Roboto" w:cs="Roboto"/>
          <w:sz w:val="22"/>
          <w:szCs w:val="22"/>
        </w:rPr>
        <w:t>European</w:t>
      </w:r>
      <w:proofErr w:type="spellEnd"/>
      <w:r w:rsidR="5F9F0AB5" w:rsidRPr="7A3C141B">
        <w:rPr>
          <w:rFonts w:ascii="Roboto" w:eastAsia="Roboto" w:hAnsi="Roboto" w:cs="Roboto"/>
          <w:sz w:val="22"/>
          <w:szCs w:val="22"/>
        </w:rPr>
        <w:t xml:space="preserve"> </w:t>
      </w:r>
      <w:proofErr w:type="spellStart"/>
      <w:r w:rsidR="5F9F0AB5" w:rsidRPr="7A3C141B">
        <w:rPr>
          <w:rFonts w:ascii="Roboto" w:eastAsia="Roboto" w:hAnsi="Roboto" w:cs="Roboto"/>
          <w:sz w:val="22"/>
          <w:szCs w:val="22"/>
        </w:rPr>
        <w:t>Accreditation</w:t>
      </w:r>
      <w:proofErr w:type="spellEnd"/>
      <w:r w:rsidR="5F9F0AB5" w:rsidRPr="7A3C141B">
        <w:rPr>
          <w:rFonts w:ascii="Roboto" w:eastAsia="Roboto" w:hAnsi="Roboto" w:cs="Roboto"/>
          <w:sz w:val="22"/>
          <w:szCs w:val="22"/>
        </w:rPr>
        <w:t xml:space="preserve"> (</w:t>
      </w:r>
      <w:r w:rsidRPr="7A3C141B">
        <w:rPr>
          <w:rFonts w:ascii="Roboto" w:eastAsia="Roboto" w:hAnsi="Roboto" w:cs="Roboto"/>
          <w:sz w:val="22"/>
          <w:szCs w:val="22"/>
        </w:rPr>
        <w:t>EA</w:t>
      </w:r>
      <w:r w:rsidR="583EB1ED" w:rsidRPr="7A3C141B">
        <w:rPr>
          <w:rFonts w:ascii="Roboto" w:eastAsia="Roboto" w:hAnsi="Roboto" w:cs="Roboto"/>
          <w:sz w:val="22"/>
          <w:szCs w:val="22"/>
        </w:rPr>
        <w:t>)</w:t>
      </w:r>
      <w:r w:rsidR="54122906" w:rsidRPr="7A3C141B">
        <w:rPr>
          <w:rFonts w:ascii="Roboto" w:eastAsia="Roboto" w:hAnsi="Roboto" w:cs="Roboto"/>
          <w:sz w:val="22"/>
          <w:szCs w:val="22"/>
        </w:rPr>
        <w:t>;</w:t>
      </w:r>
      <w:r w:rsidRPr="7A3C141B">
        <w:rPr>
          <w:rFonts w:ascii="Roboto" w:eastAsia="Roboto" w:hAnsi="Roboto" w:cs="Roboto"/>
          <w:sz w:val="22"/>
          <w:szCs w:val="22"/>
        </w:rPr>
        <w:t xml:space="preserve"> en particular, en el desarrollo de los documentos “</w:t>
      </w:r>
      <w:proofErr w:type="spellStart"/>
      <w:r w:rsidR="00D97864">
        <w:fldChar w:fldCharType="begin"/>
      </w:r>
      <w:r w:rsidR="00D97864">
        <w:instrText>HYPERLINK "https://certification.enisa.europa.eu/documentation/eucc_state_of_the_art_accreditation-of-itsefs-v1-1.pdf/" \h</w:instrText>
      </w:r>
      <w:r w:rsidR="00D97864">
        <w:fldChar w:fldCharType="separate"/>
      </w:r>
      <w:r w:rsidRPr="7A3C141B">
        <w:rPr>
          <w:rFonts w:ascii="Roboto" w:eastAsia="Roboto" w:hAnsi="Roboto" w:cs="Roboto"/>
          <w:color w:val="0000FF"/>
          <w:sz w:val="21"/>
          <w:szCs w:val="21"/>
          <w:u w:val="single"/>
        </w:rPr>
        <w:t>Accreditation</w:t>
      </w:r>
      <w:proofErr w:type="spellEnd"/>
      <w:r w:rsidRPr="7A3C141B">
        <w:rPr>
          <w:rFonts w:ascii="Roboto" w:eastAsia="Roboto" w:hAnsi="Roboto" w:cs="Roboto"/>
          <w:color w:val="0000FF"/>
          <w:sz w:val="21"/>
          <w:szCs w:val="21"/>
          <w:u w:val="single"/>
        </w:rPr>
        <w:t xml:space="preserve"> </w:t>
      </w:r>
      <w:proofErr w:type="spellStart"/>
      <w:r w:rsidRPr="7A3C141B">
        <w:rPr>
          <w:rFonts w:ascii="Roboto" w:eastAsia="Roboto" w:hAnsi="Roboto" w:cs="Roboto"/>
          <w:color w:val="0000FF"/>
          <w:sz w:val="21"/>
          <w:szCs w:val="21"/>
          <w:u w:val="single"/>
        </w:rPr>
        <w:t>of</w:t>
      </w:r>
      <w:proofErr w:type="spellEnd"/>
      <w:r w:rsidRPr="7A3C141B">
        <w:rPr>
          <w:rFonts w:ascii="Roboto" w:eastAsia="Roboto" w:hAnsi="Roboto" w:cs="Roboto"/>
          <w:color w:val="0000FF"/>
          <w:sz w:val="21"/>
          <w:szCs w:val="21"/>
          <w:u w:val="single"/>
        </w:rPr>
        <w:t xml:space="preserve"> </w:t>
      </w:r>
      <w:proofErr w:type="spellStart"/>
      <w:r w:rsidRPr="7A3C141B">
        <w:rPr>
          <w:rFonts w:ascii="Roboto" w:eastAsia="Roboto" w:hAnsi="Roboto" w:cs="Roboto"/>
          <w:color w:val="0000FF"/>
          <w:sz w:val="21"/>
          <w:szCs w:val="21"/>
          <w:u w:val="single"/>
        </w:rPr>
        <w:t>ITSEFs</w:t>
      </w:r>
      <w:proofErr w:type="spellEnd"/>
      <w:r w:rsidRPr="7A3C141B">
        <w:rPr>
          <w:rFonts w:ascii="Roboto" w:eastAsia="Roboto" w:hAnsi="Roboto" w:cs="Roboto"/>
          <w:color w:val="0000FF"/>
          <w:sz w:val="21"/>
          <w:szCs w:val="21"/>
          <w:u w:val="single"/>
        </w:rPr>
        <w:t xml:space="preserve"> </w:t>
      </w:r>
      <w:proofErr w:type="spellStart"/>
      <w:r w:rsidRPr="7A3C141B">
        <w:rPr>
          <w:rFonts w:ascii="Roboto" w:eastAsia="Roboto" w:hAnsi="Roboto" w:cs="Roboto"/>
          <w:color w:val="0000FF"/>
          <w:sz w:val="21"/>
          <w:szCs w:val="21"/>
          <w:u w:val="single"/>
        </w:rPr>
        <w:t>for</w:t>
      </w:r>
      <w:proofErr w:type="spellEnd"/>
      <w:r w:rsidRPr="7A3C141B">
        <w:rPr>
          <w:rFonts w:ascii="Roboto" w:eastAsia="Roboto" w:hAnsi="Roboto" w:cs="Roboto"/>
          <w:color w:val="0000FF"/>
          <w:sz w:val="21"/>
          <w:szCs w:val="21"/>
          <w:u w:val="single"/>
        </w:rPr>
        <w:t xml:space="preserve"> </w:t>
      </w:r>
      <w:proofErr w:type="spellStart"/>
      <w:r w:rsidRPr="7A3C141B">
        <w:rPr>
          <w:rFonts w:ascii="Roboto" w:eastAsia="Roboto" w:hAnsi="Roboto" w:cs="Roboto"/>
          <w:color w:val="0000FF"/>
          <w:sz w:val="21"/>
          <w:szCs w:val="21"/>
          <w:u w:val="single"/>
        </w:rPr>
        <w:t>the</w:t>
      </w:r>
      <w:proofErr w:type="spellEnd"/>
      <w:r w:rsidRPr="7A3C141B">
        <w:rPr>
          <w:rFonts w:ascii="Roboto" w:eastAsia="Roboto" w:hAnsi="Roboto" w:cs="Roboto"/>
          <w:color w:val="0000FF"/>
          <w:sz w:val="21"/>
          <w:szCs w:val="21"/>
          <w:u w:val="single"/>
        </w:rPr>
        <w:t xml:space="preserve"> EUCC </w:t>
      </w:r>
      <w:proofErr w:type="spellStart"/>
      <w:r w:rsidRPr="7A3C141B">
        <w:rPr>
          <w:rFonts w:ascii="Roboto" w:eastAsia="Roboto" w:hAnsi="Roboto" w:cs="Roboto"/>
          <w:color w:val="0000FF"/>
          <w:sz w:val="21"/>
          <w:szCs w:val="21"/>
          <w:u w:val="single"/>
        </w:rPr>
        <w:t>Scheme</w:t>
      </w:r>
      <w:proofErr w:type="spellEnd"/>
      <w:r w:rsidR="00D97864">
        <w:rPr>
          <w:rFonts w:ascii="Roboto" w:eastAsia="Roboto" w:hAnsi="Roboto" w:cs="Roboto"/>
          <w:color w:val="0000FF"/>
          <w:sz w:val="21"/>
          <w:szCs w:val="21"/>
          <w:u w:val="single"/>
        </w:rPr>
        <w:fldChar w:fldCharType="end"/>
      </w:r>
      <w:r w:rsidRPr="7A3C141B">
        <w:rPr>
          <w:rFonts w:ascii="Roboto" w:eastAsia="Roboto" w:hAnsi="Roboto" w:cs="Roboto"/>
          <w:sz w:val="22"/>
          <w:szCs w:val="22"/>
        </w:rPr>
        <w:t>” y “</w:t>
      </w:r>
      <w:proofErr w:type="spellStart"/>
      <w:r w:rsidRPr="7A3C141B">
        <w:rPr>
          <w:rFonts w:ascii="Roboto" w:eastAsia="Roboto" w:hAnsi="Roboto" w:cs="Roboto"/>
          <w:sz w:val="22"/>
          <w:szCs w:val="22"/>
        </w:rPr>
        <w:t>Accreditation</w:t>
      </w:r>
      <w:proofErr w:type="spellEnd"/>
      <w:r w:rsidRPr="7A3C141B">
        <w:rPr>
          <w:rFonts w:ascii="Roboto" w:eastAsia="Roboto" w:hAnsi="Roboto" w:cs="Roboto"/>
          <w:sz w:val="22"/>
          <w:szCs w:val="22"/>
        </w:rPr>
        <w:t xml:space="preserve"> </w:t>
      </w:r>
      <w:proofErr w:type="spellStart"/>
      <w:r w:rsidRPr="7A3C141B">
        <w:rPr>
          <w:rFonts w:ascii="Roboto" w:eastAsia="Roboto" w:hAnsi="Roboto" w:cs="Roboto"/>
          <w:sz w:val="22"/>
          <w:szCs w:val="22"/>
        </w:rPr>
        <w:t>of</w:t>
      </w:r>
      <w:proofErr w:type="spellEnd"/>
      <w:r w:rsidRPr="7A3C141B">
        <w:rPr>
          <w:rFonts w:ascii="Roboto" w:eastAsia="Roboto" w:hAnsi="Roboto" w:cs="Roboto"/>
          <w:sz w:val="22"/>
          <w:szCs w:val="22"/>
        </w:rPr>
        <w:t xml:space="preserve"> </w:t>
      </w:r>
      <w:proofErr w:type="spellStart"/>
      <w:r w:rsidRPr="7A3C141B">
        <w:rPr>
          <w:rFonts w:ascii="Roboto" w:eastAsia="Roboto" w:hAnsi="Roboto" w:cs="Roboto"/>
          <w:sz w:val="22"/>
          <w:szCs w:val="22"/>
        </w:rPr>
        <w:t>CBs</w:t>
      </w:r>
      <w:proofErr w:type="spellEnd"/>
      <w:r w:rsidRPr="7A3C141B">
        <w:rPr>
          <w:rFonts w:ascii="Roboto" w:eastAsia="Roboto" w:hAnsi="Roboto" w:cs="Roboto"/>
          <w:sz w:val="22"/>
          <w:szCs w:val="22"/>
        </w:rPr>
        <w:t xml:space="preserve"> </w:t>
      </w:r>
      <w:proofErr w:type="spellStart"/>
      <w:r w:rsidRPr="7A3C141B">
        <w:rPr>
          <w:rFonts w:ascii="Roboto" w:eastAsia="Roboto" w:hAnsi="Roboto" w:cs="Roboto"/>
          <w:sz w:val="22"/>
          <w:szCs w:val="22"/>
        </w:rPr>
        <w:t>for</w:t>
      </w:r>
      <w:proofErr w:type="spellEnd"/>
      <w:r w:rsidRPr="7A3C141B">
        <w:rPr>
          <w:rFonts w:ascii="Roboto" w:eastAsia="Roboto" w:hAnsi="Roboto" w:cs="Roboto"/>
          <w:sz w:val="22"/>
          <w:szCs w:val="22"/>
        </w:rPr>
        <w:t xml:space="preserve"> </w:t>
      </w:r>
      <w:proofErr w:type="spellStart"/>
      <w:r w:rsidRPr="7A3C141B">
        <w:rPr>
          <w:rFonts w:ascii="Roboto" w:eastAsia="Roboto" w:hAnsi="Roboto" w:cs="Roboto"/>
          <w:sz w:val="22"/>
          <w:szCs w:val="22"/>
        </w:rPr>
        <w:t>the</w:t>
      </w:r>
      <w:proofErr w:type="spellEnd"/>
      <w:r w:rsidRPr="7A3C141B">
        <w:rPr>
          <w:rFonts w:ascii="Roboto" w:eastAsia="Roboto" w:hAnsi="Roboto" w:cs="Roboto"/>
          <w:sz w:val="22"/>
          <w:szCs w:val="22"/>
        </w:rPr>
        <w:t xml:space="preserve"> EUCC </w:t>
      </w:r>
      <w:proofErr w:type="spellStart"/>
      <w:r w:rsidRPr="7A3C141B">
        <w:rPr>
          <w:rFonts w:ascii="Roboto" w:eastAsia="Roboto" w:hAnsi="Roboto" w:cs="Roboto"/>
          <w:sz w:val="22"/>
          <w:szCs w:val="22"/>
        </w:rPr>
        <w:t>Scheme</w:t>
      </w:r>
      <w:proofErr w:type="spellEnd"/>
      <w:r w:rsidRPr="7A3C141B">
        <w:rPr>
          <w:rFonts w:ascii="Roboto" w:eastAsia="Roboto" w:hAnsi="Roboto" w:cs="Roboto"/>
          <w:sz w:val="22"/>
          <w:szCs w:val="22"/>
        </w:rPr>
        <w:t xml:space="preserve">”. </w:t>
      </w:r>
    </w:p>
    <w:p w14:paraId="20D22A61" w14:textId="77777777" w:rsidR="0059096B" w:rsidRDefault="0059096B">
      <w:pPr>
        <w:rPr>
          <w:rFonts w:ascii="Roboto" w:eastAsia="Roboto" w:hAnsi="Roboto" w:cs="Roboto"/>
          <w:sz w:val="22"/>
          <w:szCs w:val="22"/>
        </w:rPr>
      </w:pPr>
    </w:p>
    <w:p w14:paraId="20D22A62" w14:textId="77777777" w:rsidR="0059096B" w:rsidRDefault="002B4990">
      <w:pPr>
        <w:spacing w:after="160" w:line="259" w:lineRule="auto"/>
        <w:jc w:val="both"/>
        <w:rPr>
          <w:rFonts w:ascii="Roboto" w:eastAsia="Roboto" w:hAnsi="Roboto" w:cs="Roboto"/>
          <w:sz w:val="22"/>
          <w:szCs w:val="22"/>
          <w:highlight w:val="yellow"/>
        </w:rPr>
      </w:pPr>
      <w:r>
        <w:rPr>
          <w:rFonts w:ascii="Roboto" w:eastAsia="Roboto" w:hAnsi="Roboto" w:cs="Roboto"/>
          <w:sz w:val="22"/>
          <w:szCs w:val="22"/>
        </w:rPr>
        <w:t xml:space="preserve">“Desde 2020, trabajamos en el desarrollo de este esquema de certificación” explica </w:t>
      </w:r>
      <w:r>
        <w:rPr>
          <w:rFonts w:ascii="Roboto" w:eastAsia="Roboto" w:hAnsi="Roboto" w:cs="Roboto"/>
          <w:b/>
          <w:sz w:val="22"/>
          <w:szCs w:val="22"/>
        </w:rPr>
        <w:t>Rosalina Porres, responsable de los esquemas de acreditación en materia de Ciberseguridad en ENAC</w:t>
      </w:r>
      <w:r>
        <w:rPr>
          <w:rFonts w:ascii="Roboto" w:eastAsia="Roboto" w:hAnsi="Roboto" w:cs="Roboto"/>
          <w:sz w:val="22"/>
          <w:szCs w:val="22"/>
        </w:rPr>
        <w:t>, quien ha participado en estos trabajos, “primeramente, en la propuesta sobre cuáles deberían ser los requisitos de acreditación para los laboratorios que realizan evaluaciones de productos dentro del esquema EUCC y, actualmente, seguimos trabajando en los requisitos que se deberán aplicar a los certificadores”.</w:t>
      </w:r>
    </w:p>
    <w:p w14:paraId="55E7F821" w14:textId="77777777" w:rsidR="00D97864" w:rsidRDefault="002B4990">
      <w:pPr>
        <w:spacing w:after="150"/>
        <w:jc w:val="both"/>
        <w:rPr>
          <w:rFonts w:ascii="Roboto" w:eastAsia="Roboto" w:hAnsi="Roboto" w:cs="Roboto"/>
          <w:b/>
          <w:bCs/>
          <w:sz w:val="22"/>
          <w:szCs w:val="22"/>
        </w:rPr>
      </w:pPr>
      <w:r w:rsidRPr="28D30EC1">
        <w:rPr>
          <w:rFonts w:ascii="Roboto" w:eastAsia="Roboto" w:hAnsi="Roboto" w:cs="Roboto"/>
          <w:sz w:val="22"/>
          <w:szCs w:val="22"/>
        </w:rPr>
        <w:t>Adicionalmente, hace unos meses ENAC puso en marcha, a instancias del Centro Criptológico Nacional (CCN), un programa piloto que ha permitido iniciar los procesos de evaluación antes de la publicación del esquema. Para este programa, ENAC ha trabajado, junto al CCN</w:t>
      </w:r>
      <w:r w:rsidR="008B2940" w:rsidRPr="28D30EC1">
        <w:rPr>
          <w:rFonts w:ascii="Roboto" w:eastAsia="Roboto" w:hAnsi="Roboto" w:cs="Roboto"/>
          <w:sz w:val="22"/>
          <w:szCs w:val="22"/>
        </w:rPr>
        <w:t>,</w:t>
      </w:r>
      <w:r w:rsidR="00AC4482" w:rsidRPr="28D30EC1">
        <w:rPr>
          <w:rFonts w:ascii="Roboto" w:eastAsia="Roboto" w:hAnsi="Roboto" w:cs="Roboto"/>
          <w:sz w:val="22"/>
          <w:szCs w:val="22"/>
        </w:rPr>
        <w:t xml:space="preserve"> </w:t>
      </w:r>
      <w:r w:rsidR="00105E44" w:rsidRPr="28D30EC1">
        <w:rPr>
          <w:rFonts w:ascii="Roboto" w:eastAsia="Roboto" w:hAnsi="Roboto" w:cs="Roboto"/>
          <w:sz w:val="22"/>
          <w:szCs w:val="22"/>
        </w:rPr>
        <w:t>analizando</w:t>
      </w:r>
      <w:r w:rsidRPr="28D30EC1">
        <w:rPr>
          <w:rFonts w:ascii="Roboto" w:eastAsia="Roboto" w:hAnsi="Roboto" w:cs="Roboto"/>
          <w:sz w:val="22"/>
          <w:szCs w:val="22"/>
        </w:rPr>
        <w:t xml:space="preserve"> los cambios más importantes que introduce el esquema y se han creado herramientas para ayudar a los auditores en estas evaluaciones. Todo este trabajo desarrollado dentro de </w:t>
      </w:r>
      <w:r w:rsidRPr="28D30EC1">
        <w:rPr>
          <w:rFonts w:ascii="Roboto" w:eastAsia="Roboto" w:hAnsi="Roboto" w:cs="Roboto"/>
          <w:b/>
          <w:bCs/>
          <w:sz w:val="22"/>
          <w:szCs w:val="22"/>
        </w:rPr>
        <w:t>este programa piloto ha permitido que, en el momento de aprobación del esquema,</w:t>
      </w:r>
      <w:r w:rsidRPr="28D30EC1">
        <w:rPr>
          <w:rFonts w:ascii="Roboto" w:eastAsia="Roboto" w:hAnsi="Roboto" w:cs="Roboto"/>
          <w:sz w:val="22"/>
          <w:szCs w:val="22"/>
        </w:rPr>
        <w:t xml:space="preserve"> </w:t>
      </w:r>
      <w:r w:rsidRPr="28D30EC1">
        <w:rPr>
          <w:rFonts w:ascii="Roboto" w:eastAsia="Roboto" w:hAnsi="Roboto" w:cs="Roboto"/>
          <w:b/>
          <w:bCs/>
          <w:sz w:val="22"/>
          <w:szCs w:val="22"/>
        </w:rPr>
        <w:t xml:space="preserve">ya existan diferentes </w:t>
      </w:r>
    </w:p>
    <w:p w14:paraId="531BA0E2" w14:textId="77777777" w:rsidR="00D97864" w:rsidRDefault="00D97864">
      <w:pPr>
        <w:spacing w:after="150"/>
        <w:jc w:val="both"/>
        <w:rPr>
          <w:rFonts w:ascii="Roboto" w:eastAsia="Roboto" w:hAnsi="Roboto" w:cs="Roboto"/>
          <w:b/>
          <w:bCs/>
          <w:sz w:val="22"/>
          <w:szCs w:val="22"/>
        </w:rPr>
      </w:pPr>
    </w:p>
    <w:p w14:paraId="20D22A63" w14:textId="3F26EB3F" w:rsidR="0059096B" w:rsidRDefault="002B4990">
      <w:pPr>
        <w:spacing w:after="150"/>
        <w:jc w:val="both"/>
        <w:rPr>
          <w:rFonts w:ascii="Roboto" w:eastAsia="Roboto" w:hAnsi="Roboto" w:cs="Roboto"/>
          <w:sz w:val="22"/>
          <w:szCs w:val="22"/>
        </w:rPr>
      </w:pPr>
      <w:r w:rsidRPr="28D30EC1">
        <w:rPr>
          <w:rFonts w:ascii="Roboto" w:eastAsia="Roboto" w:hAnsi="Roboto" w:cs="Roboto"/>
          <w:b/>
          <w:bCs/>
          <w:sz w:val="22"/>
          <w:szCs w:val="22"/>
        </w:rPr>
        <w:t>procesos de evaluación avanzados, lo que ha acortado sensiblemente el tiempo para conceder las primeras acreditaciones y facilitará que la industria española pueda, también, iniciar cuanto antes los procesos de evaluación frente al esquema</w:t>
      </w:r>
      <w:r w:rsidRPr="28D30EC1">
        <w:rPr>
          <w:rFonts w:ascii="Roboto" w:eastAsia="Roboto" w:hAnsi="Roboto" w:cs="Roboto"/>
          <w:sz w:val="22"/>
          <w:szCs w:val="22"/>
        </w:rPr>
        <w:t xml:space="preserve">. </w:t>
      </w:r>
    </w:p>
    <w:p w14:paraId="20D22A65" w14:textId="4EBD7D6D" w:rsidR="0059096B" w:rsidRDefault="002B4990" w:rsidP="28D30EC1">
      <w:pPr>
        <w:spacing w:after="150"/>
        <w:jc w:val="both"/>
        <w:rPr>
          <w:rFonts w:ascii="Roboto" w:eastAsia="Roboto" w:hAnsi="Roboto" w:cs="Roboto"/>
          <w:sz w:val="22"/>
          <w:szCs w:val="22"/>
        </w:rPr>
      </w:pPr>
      <w:r w:rsidRPr="28D30EC1">
        <w:rPr>
          <w:rFonts w:ascii="Roboto" w:eastAsia="Roboto" w:hAnsi="Roboto" w:cs="Roboto"/>
          <w:sz w:val="22"/>
          <w:szCs w:val="22"/>
        </w:rPr>
        <w:t xml:space="preserve">Como primer esquema de certificación de ciberseguridad de la UE que se adopta, se espera que el EUCC allane el camino para los próximos esquemas que están actualmente en preparación, como el de certificación sobre servicios en la nube (EU </w:t>
      </w:r>
      <w:proofErr w:type="spellStart"/>
      <w:r w:rsidRPr="28D30EC1">
        <w:rPr>
          <w:rFonts w:ascii="Roboto" w:eastAsia="Roboto" w:hAnsi="Roboto" w:cs="Roboto"/>
          <w:sz w:val="22"/>
          <w:szCs w:val="22"/>
        </w:rPr>
        <w:t>Certification</w:t>
      </w:r>
      <w:proofErr w:type="spellEnd"/>
      <w:r w:rsidRPr="28D30EC1">
        <w:rPr>
          <w:rFonts w:ascii="Roboto" w:eastAsia="Roboto" w:hAnsi="Roboto" w:cs="Roboto"/>
          <w:sz w:val="22"/>
          <w:szCs w:val="22"/>
        </w:rPr>
        <w:t xml:space="preserve"> </w:t>
      </w:r>
      <w:proofErr w:type="spellStart"/>
      <w:r w:rsidRPr="28D30EC1">
        <w:rPr>
          <w:rFonts w:ascii="Roboto" w:eastAsia="Roboto" w:hAnsi="Roboto" w:cs="Roboto"/>
          <w:sz w:val="22"/>
          <w:szCs w:val="22"/>
        </w:rPr>
        <w:t>scheme</w:t>
      </w:r>
      <w:proofErr w:type="spellEnd"/>
      <w:r w:rsidRPr="28D30EC1">
        <w:rPr>
          <w:rFonts w:ascii="Roboto" w:eastAsia="Roboto" w:hAnsi="Roboto" w:cs="Roboto"/>
          <w:sz w:val="22"/>
          <w:szCs w:val="22"/>
        </w:rPr>
        <w:t xml:space="preserve"> </w:t>
      </w:r>
      <w:proofErr w:type="spellStart"/>
      <w:r w:rsidRPr="28D30EC1">
        <w:rPr>
          <w:rFonts w:ascii="Roboto" w:eastAsia="Roboto" w:hAnsi="Roboto" w:cs="Roboto"/>
          <w:sz w:val="22"/>
          <w:szCs w:val="22"/>
        </w:rPr>
        <w:t>on</w:t>
      </w:r>
      <w:proofErr w:type="spellEnd"/>
      <w:r w:rsidRPr="28D30EC1">
        <w:rPr>
          <w:rFonts w:ascii="Roboto" w:eastAsia="Roboto" w:hAnsi="Roboto" w:cs="Roboto"/>
          <w:sz w:val="22"/>
          <w:szCs w:val="22"/>
        </w:rPr>
        <w:t xml:space="preserve"> Cloud </w:t>
      </w:r>
      <w:proofErr w:type="spellStart"/>
      <w:r w:rsidRPr="28D30EC1">
        <w:rPr>
          <w:rFonts w:ascii="Roboto" w:eastAsia="Roboto" w:hAnsi="Roboto" w:cs="Roboto"/>
          <w:sz w:val="22"/>
          <w:szCs w:val="22"/>
        </w:rPr>
        <w:t>Services</w:t>
      </w:r>
      <w:proofErr w:type="spellEnd"/>
      <w:r w:rsidRPr="28D30EC1">
        <w:rPr>
          <w:rFonts w:ascii="Roboto" w:eastAsia="Roboto" w:hAnsi="Roboto" w:cs="Roboto"/>
          <w:sz w:val="22"/>
          <w:szCs w:val="22"/>
        </w:rPr>
        <w:t xml:space="preserve">, EUCS) y el de certificación para redes móviles 5G (EU 5G </w:t>
      </w:r>
      <w:proofErr w:type="spellStart"/>
      <w:r w:rsidRPr="28D30EC1">
        <w:rPr>
          <w:rFonts w:ascii="Roboto" w:eastAsia="Roboto" w:hAnsi="Roboto" w:cs="Roboto"/>
          <w:sz w:val="22"/>
          <w:szCs w:val="22"/>
        </w:rPr>
        <w:t>scheme</w:t>
      </w:r>
      <w:proofErr w:type="spellEnd"/>
      <w:r w:rsidRPr="28D30EC1">
        <w:rPr>
          <w:rFonts w:ascii="Roboto" w:eastAsia="Roboto" w:hAnsi="Roboto" w:cs="Roboto"/>
          <w:sz w:val="22"/>
          <w:szCs w:val="22"/>
        </w:rPr>
        <w:t>).</w:t>
      </w:r>
    </w:p>
    <w:p w14:paraId="20D22A66" w14:textId="77777777" w:rsidR="0059096B" w:rsidRDefault="0059096B">
      <w:pPr>
        <w:spacing w:after="150"/>
        <w:jc w:val="both"/>
        <w:rPr>
          <w:rFonts w:ascii="Arial" w:eastAsia="Arial" w:hAnsi="Arial" w:cs="Arial"/>
          <w:sz w:val="21"/>
          <w:szCs w:val="21"/>
        </w:rPr>
      </w:pPr>
    </w:p>
    <w:p w14:paraId="20D22A67" w14:textId="77777777" w:rsidR="0059096B" w:rsidRDefault="002B4990">
      <w:pPr>
        <w:jc w:val="both"/>
        <w:rPr>
          <w:rFonts w:ascii="Roboto" w:eastAsia="Roboto" w:hAnsi="Roboto" w:cs="Roboto"/>
          <w:b/>
          <w:color w:val="E83544"/>
          <w:sz w:val="22"/>
          <w:szCs w:val="22"/>
        </w:rPr>
      </w:pPr>
      <w:r>
        <w:rPr>
          <w:rFonts w:ascii="Roboto" w:eastAsia="Roboto" w:hAnsi="Roboto" w:cs="Roboto"/>
          <w:b/>
          <w:color w:val="E83544"/>
          <w:sz w:val="22"/>
          <w:szCs w:val="22"/>
        </w:rPr>
        <w:t>Sobre ENAC</w:t>
      </w:r>
    </w:p>
    <w:p w14:paraId="20D22A68" w14:textId="77777777" w:rsidR="0059096B" w:rsidRDefault="0059096B">
      <w:pPr>
        <w:jc w:val="both"/>
        <w:rPr>
          <w:rFonts w:ascii="Roboto" w:eastAsia="Roboto" w:hAnsi="Roboto" w:cs="Roboto"/>
          <w:b/>
          <w:color w:val="E83544"/>
          <w:sz w:val="22"/>
          <w:szCs w:val="22"/>
        </w:rPr>
      </w:pPr>
    </w:p>
    <w:p w14:paraId="20D22A69" w14:textId="65F7E580" w:rsidR="0059096B" w:rsidRDefault="002B4990">
      <w:pPr>
        <w:jc w:val="both"/>
        <w:rPr>
          <w:rFonts w:ascii="Roboto" w:eastAsia="Roboto" w:hAnsi="Roboto" w:cs="Roboto"/>
          <w:sz w:val="22"/>
          <w:szCs w:val="22"/>
        </w:rPr>
      </w:pPr>
      <w:r>
        <w:rPr>
          <w:rFonts w:ascii="Roboto" w:eastAsia="Roboto" w:hAnsi="Roboto" w:cs="Roboto"/>
          <w:sz w:val="22"/>
          <w:szCs w:val="22"/>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20D22A6A" w14:textId="77777777" w:rsidR="0059096B" w:rsidRDefault="0059096B">
      <w:pPr>
        <w:jc w:val="both"/>
        <w:rPr>
          <w:rFonts w:ascii="Roboto" w:eastAsia="Roboto" w:hAnsi="Roboto" w:cs="Roboto"/>
          <w:sz w:val="22"/>
          <w:szCs w:val="22"/>
        </w:rPr>
      </w:pPr>
    </w:p>
    <w:p w14:paraId="20D22A6B" w14:textId="77777777" w:rsidR="0059096B" w:rsidRDefault="002B4990">
      <w:pPr>
        <w:jc w:val="both"/>
        <w:rPr>
          <w:rFonts w:ascii="Roboto" w:eastAsia="Roboto" w:hAnsi="Roboto" w:cs="Roboto"/>
          <w:sz w:val="22"/>
          <w:szCs w:val="22"/>
        </w:rPr>
      </w:pPr>
      <w:r>
        <w:rPr>
          <w:rFonts w:ascii="Roboto" w:eastAsia="Roboto" w:hAnsi="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20D22A6C" w14:textId="77777777" w:rsidR="0059096B" w:rsidRDefault="002B4990">
      <w:pPr>
        <w:jc w:val="both"/>
        <w:rPr>
          <w:rFonts w:ascii="Roboto" w:eastAsia="Roboto" w:hAnsi="Roboto" w:cs="Roboto"/>
          <w:sz w:val="22"/>
          <w:szCs w:val="22"/>
        </w:rPr>
      </w:pPr>
      <w:r>
        <w:rPr>
          <w:rFonts w:ascii="Roboto" w:eastAsia="Roboto" w:hAnsi="Roboto" w:cs="Roboto"/>
          <w:sz w:val="22"/>
          <w:szCs w:val="22"/>
        </w:rPr>
        <w:t> </w:t>
      </w:r>
    </w:p>
    <w:p w14:paraId="20D22A6D" w14:textId="77777777" w:rsidR="0059096B" w:rsidRDefault="002B4990">
      <w:pPr>
        <w:jc w:val="both"/>
        <w:rPr>
          <w:rFonts w:ascii="Roboto" w:eastAsia="Roboto" w:hAnsi="Roboto" w:cs="Roboto"/>
          <w:sz w:val="22"/>
          <w:szCs w:val="22"/>
        </w:rPr>
      </w:pPr>
      <w:r>
        <w:rPr>
          <w:rFonts w:ascii="Roboto" w:eastAsia="Roboto" w:hAnsi="Roboto" w:cs="Roboto"/>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20D22A6E" w14:textId="77777777" w:rsidR="0059096B" w:rsidRDefault="0059096B">
      <w:pPr>
        <w:jc w:val="both"/>
        <w:rPr>
          <w:rFonts w:ascii="Roboto" w:eastAsia="Roboto" w:hAnsi="Roboto" w:cs="Roboto"/>
          <w:sz w:val="22"/>
          <w:szCs w:val="22"/>
        </w:rPr>
      </w:pPr>
    </w:p>
    <w:p w14:paraId="20D22A6F" w14:textId="77777777" w:rsidR="0059096B" w:rsidRDefault="0059096B">
      <w:pPr>
        <w:jc w:val="both"/>
        <w:rPr>
          <w:rFonts w:ascii="Roboto" w:eastAsia="Roboto" w:hAnsi="Roboto" w:cs="Roboto"/>
          <w:sz w:val="22"/>
          <w:szCs w:val="22"/>
        </w:rPr>
      </w:pPr>
    </w:p>
    <w:p w14:paraId="20D22A70" w14:textId="77777777" w:rsidR="0059096B" w:rsidRDefault="00D97864">
      <w:pPr>
        <w:pBdr>
          <w:bottom w:val="single" w:sz="12" w:space="1" w:color="000000"/>
        </w:pBdr>
        <w:jc w:val="both"/>
        <w:rPr>
          <w:rFonts w:ascii="Roboto" w:eastAsia="Roboto" w:hAnsi="Roboto" w:cs="Roboto"/>
          <w:color w:val="E83544"/>
          <w:sz w:val="22"/>
          <w:szCs w:val="22"/>
        </w:rPr>
      </w:pPr>
      <w:hyperlink r:id="rId14">
        <w:r w:rsidR="002B4990">
          <w:rPr>
            <w:rFonts w:ascii="Roboto" w:eastAsia="Roboto" w:hAnsi="Roboto" w:cs="Roboto"/>
            <w:color w:val="E83544"/>
            <w:sz w:val="22"/>
            <w:szCs w:val="22"/>
            <w:u w:val="single"/>
          </w:rPr>
          <w:t>www.enac.es</w:t>
        </w:r>
      </w:hyperlink>
      <w:r w:rsidR="002B4990">
        <w:rPr>
          <w:rFonts w:ascii="Roboto" w:eastAsia="Roboto" w:hAnsi="Roboto" w:cs="Roboto"/>
          <w:color w:val="E83544"/>
          <w:sz w:val="22"/>
          <w:szCs w:val="22"/>
        </w:rPr>
        <w:t xml:space="preserve"> </w:t>
      </w:r>
    </w:p>
    <w:p w14:paraId="20D22A71" w14:textId="77777777" w:rsidR="0059096B" w:rsidRDefault="0059096B">
      <w:pPr>
        <w:pBdr>
          <w:bottom w:val="single" w:sz="12" w:space="1" w:color="000000"/>
        </w:pBdr>
        <w:jc w:val="both"/>
        <w:rPr>
          <w:rFonts w:ascii="Roboto" w:eastAsia="Roboto" w:hAnsi="Roboto" w:cs="Roboto"/>
          <w:color w:val="E83544"/>
          <w:sz w:val="22"/>
          <w:szCs w:val="22"/>
        </w:rPr>
      </w:pPr>
    </w:p>
    <w:p w14:paraId="20D22A72" w14:textId="77777777" w:rsidR="0059096B" w:rsidRDefault="002B4990">
      <w:pPr>
        <w:pBdr>
          <w:bottom w:val="single" w:sz="12" w:space="1" w:color="000000"/>
        </w:pBdr>
        <w:jc w:val="both"/>
        <w:rPr>
          <w:rFonts w:ascii="Roboto" w:eastAsia="Roboto" w:hAnsi="Roboto" w:cs="Roboto"/>
          <w:sz w:val="22"/>
          <w:szCs w:val="22"/>
        </w:rPr>
      </w:pP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20D22A7C" wp14:editId="20D22A7D">
            <wp:extent cx="304800" cy="304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20D22A7E" wp14:editId="20D22A7F">
            <wp:extent cx="304800" cy="304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p>
    <w:p w14:paraId="20D22A73" w14:textId="77777777" w:rsidR="0059096B" w:rsidRDefault="0059096B">
      <w:pPr>
        <w:pBdr>
          <w:bottom w:val="single" w:sz="12" w:space="1" w:color="000000"/>
        </w:pBdr>
        <w:jc w:val="both"/>
        <w:rPr>
          <w:rFonts w:ascii="Roboto" w:eastAsia="Roboto" w:hAnsi="Roboto" w:cs="Roboto"/>
          <w:color w:val="E83544"/>
          <w:sz w:val="22"/>
          <w:szCs w:val="22"/>
        </w:rPr>
      </w:pPr>
    </w:p>
    <w:p w14:paraId="20D22A74" w14:textId="77777777" w:rsidR="0059096B" w:rsidRDefault="0059096B">
      <w:pPr>
        <w:jc w:val="both"/>
        <w:rPr>
          <w:rFonts w:ascii="Roboto" w:eastAsia="Roboto" w:hAnsi="Roboto" w:cs="Roboto"/>
          <w:color w:val="E83544"/>
          <w:sz w:val="22"/>
          <w:szCs w:val="22"/>
        </w:rPr>
      </w:pPr>
    </w:p>
    <w:p w14:paraId="20D22A75" w14:textId="77777777" w:rsidR="0059096B" w:rsidRDefault="002B4990">
      <w:pPr>
        <w:jc w:val="both"/>
        <w:rPr>
          <w:rFonts w:ascii="Roboto" w:eastAsia="Roboto" w:hAnsi="Roboto" w:cs="Roboto"/>
          <w:sz w:val="22"/>
          <w:szCs w:val="22"/>
        </w:rPr>
      </w:pPr>
      <w:r>
        <w:rPr>
          <w:rFonts w:ascii="Roboto" w:eastAsia="Roboto" w:hAnsi="Roboto" w:cs="Roboto"/>
          <w:sz w:val="22"/>
          <w:szCs w:val="22"/>
        </w:rPr>
        <w:t>Para más información sobre la nota de prensa, resolver dudas o gestionar entrevistas</w:t>
      </w:r>
    </w:p>
    <w:p w14:paraId="20D22A76" w14:textId="77777777" w:rsidR="0059096B" w:rsidRDefault="002B4990">
      <w:pPr>
        <w:jc w:val="both"/>
        <w:rPr>
          <w:rFonts w:ascii="Roboto" w:eastAsia="Roboto" w:hAnsi="Roboto" w:cs="Roboto"/>
          <w:sz w:val="22"/>
          <w:szCs w:val="22"/>
        </w:rPr>
      </w:pPr>
      <w:r>
        <w:rPr>
          <w:rFonts w:ascii="Roboto" w:eastAsia="Roboto" w:hAnsi="Roboto" w:cs="Roboto"/>
          <w:sz w:val="22"/>
          <w:szCs w:val="22"/>
        </w:rPr>
        <w:t>Eva Martín</w:t>
      </w:r>
    </w:p>
    <w:p w14:paraId="20D22A77" w14:textId="77777777" w:rsidR="0059096B" w:rsidRDefault="002B4990">
      <w:pPr>
        <w:jc w:val="both"/>
        <w:rPr>
          <w:rFonts w:ascii="Roboto" w:eastAsia="Roboto" w:hAnsi="Roboto" w:cs="Roboto"/>
          <w:sz w:val="22"/>
          <w:szCs w:val="22"/>
        </w:rPr>
      </w:pPr>
      <w:r>
        <w:rPr>
          <w:rFonts w:ascii="Roboto" w:eastAsia="Roboto" w:hAnsi="Roboto" w:cs="Roboto"/>
          <w:sz w:val="22"/>
          <w:szCs w:val="22"/>
        </w:rPr>
        <w:t xml:space="preserve">Tfno. 628 17 49 01 / </w:t>
      </w:r>
      <w:r>
        <w:rPr>
          <w:rFonts w:ascii="Roboto" w:eastAsia="Roboto" w:hAnsi="Roboto" w:cs="Roboto"/>
          <w:color w:val="E83544"/>
          <w:sz w:val="22"/>
          <w:szCs w:val="22"/>
        </w:rPr>
        <w:t xml:space="preserve"> </w:t>
      </w:r>
      <w:hyperlink r:id="rId17">
        <w:r>
          <w:rPr>
            <w:rFonts w:ascii="Roboto" w:eastAsia="Roboto" w:hAnsi="Roboto" w:cs="Roboto"/>
            <w:color w:val="E83544"/>
            <w:sz w:val="22"/>
            <w:szCs w:val="22"/>
            <w:u w:val="single"/>
          </w:rPr>
          <w:t>evamc@varenga.es</w:t>
        </w:r>
      </w:hyperlink>
    </w:p>
    <w:p w14:paraId="20D22A78" w14:textId="77777777" w:rsidR="0059096B" w:rsidRDefault="0059096B">
      <w:pPr>
        <w:spacing w:after="160"/>
        <w:jc w:val="both"/>
        <w:rPr>
          <w:rFonts w:ascii="Roboto" w:eastAsia="Roboto" w:hAnsi="Roboto" w:cs="Roboto"/>
          <w:color w:val="333333"/>
          <w:sz w:val="27"/>
          <w:szCs w:val="27"/>
          <w:highlight w:val="white"/>
        </w:rPr>
      </w:pPr>
    </w:p>
    <w:p w14:paraId="20D22A79" w14:textId="77777777" w:rsidR="0059096B" w:rsidRDefault="0059096B"/>
    <w:p w14:paraId="20D22A7A" w14:textId="77777777" w:rsidR="0059096B" w:rsidRDefault="0059096B"/>
    <w:p w14:paraId="20D22A7B" w14:textId="77777777" w:rsidR="0059096B" w:rsidRDefault="0059096B">
      <w:pPr>
        <w:pBdr>
          <w:top w:val="nil"/>
          <w:left w:val="nil"/>
          <w:bottom w:val="nil"/>
          <w:right w:val="nil"/>
          <w:between w:val="nil"/>
        </w:pBdr>
        <w:rPr>
          <w:rFonts w:ascii="Calibri" w:eastAsia="Calibri" w:hAnsi="Calibri" w:cs="Calibri"/>
          <w:highlight w:val="white"/>
        </w:rPr>
      </w:pPr>
    </w:p>
    <w:sectPr w:rsidR="0059096B">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89CFC" w14:textId="77777777" w:rsidR="00B84DC2" w:rsidRDefault="00B84DC2">
      <w:r>
        <w:separator/>
      </w:r>
    </w:p>
  </w:endnote>
  <w:endnote w:type="continuationSeparator" w:id="0">
    <w:p w14:paraId="54318E1D" w14:textId="77777777" w:rsidR="00B84DC2" w:rsidRDefault="00B84DC2">
      <w:r>
        <w:continuationSeparator/>
      </w:r>
    </w:p>
  </w:endnote>
  <w:endnote w:type="continuationNotice" w:id="1">
    <w:p w14:paraId="242DF263" w14:textId="77777777" w:rsidR="00B84DC2" w:rsidRDefault="00B84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2A84" w14:textId="77777777" w:rsidR="0059096B" w:rsidRDefault="0059096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2A85" w14:textId="5A8C15D8" w:rsidR="0059096B" w:rsidRDefault="002B499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2095D">
      <w:rPr>
        <w:noProof/>
        <w:color w:val="000000"/>
      </w:rPr>
      <w:t>1</w:t>
    </w:r>
    <w:r>
      <w:rPr>
        <w:color w:val="000000"/>
      </w:rPr>
      <w:fldChar w:fldCharType="end"/>
    </w:r>
  </w:p>
  <w:p w14:paraId="20D22A86" w14:textId="77777777" w:rsidR="0059096B" w:rsidRDefault="0059096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2A88" w14:textId="77777777" w:rsidR="0059096B" w:rsidRDefault="0059096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34609" w14:textId="77777777" w:rsidR="00B84DC2" w:rsidRDefault="00B84DC2">
      <w:r>
        <w:separator/>
      </w:r>
    </w:p>
  </w:footnote>
  <w:footnote w:type="continuationSeparator" w:id="0">
    <w:p w14:paraId="3947CD93" w14:textId="77777777" w:rsidR="00B84DC2" w:rsidRDefault="00B84DC2">
      <w:r>
        <w:continuationSeparator/>
      </w:r>
    </w:p>
  </w:footnote>
  <w:footnote w:type="continuationNotice" w:id="1">
    <w:p w14:paraId="12C6EF5D" w14:textId="77777777" w:rsidR="00B84DC2" w:rsidRDefault="00B84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2A80" w14:textId="77777777" w:rsidR="0059096B" w:rsidRDefault="0059096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2A81" w14:textId="77777777" w:rsidR="0059096B" w:rsidRDefault="002B4990">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20D22A89" wp14:editId="20D22A8A">
          <wp:simplePos x="0" y="0"/>
          <wp:positionH relativeFrom="column">
            <wp:posOffset>4114800</wp:posOffset>
          </wp:positionH>
          <wp:positionV relativeFrom="paragraph">
            <wp:posOffset>-304785</wp:posOffset>
          </wp:positionV>
          <wp:extent cx="1547842" cy="997267"/>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20D22A82" w14:textId="77777777" w:rsidR="0059096B" w:rsidRDefault="002B4990">
    <w:pPr>
      <w:ind w:left="-120"/>
      <w:jc w:val="both"/>
      <w:rPr>
        <w:rFonts w:ascii="Roboto" w:eastAsia="Roboto" w:hAnsi="Roboto" w:cs="Roboto"/>
        <w:sz w:val="22"/>
        <w:szCs w:val="22"/>
      </w:rPr>
    </w:pPr>
    <w:r>
      <w:rPr>
        <w:rFonts w:ascii="Roboto" w:eastAsia="Roboto" w:hAnsi="Roboto" w:cs="Roboto"/>
        <w:b/>
        <w:sz w:val="40"/>
        <w:szCs w:val="40"/>
      </w:rPr>
      <w:t>NOTA DE PRENSA</w:t>
    </w:r>
    <w:r>
      <w:rPr>
        <w:rFonts w:ascii="Roboto" w:eastAsia="Roboto" w:hAnsi="Roboto" w:cs="Roboto"/>
        <w:sz w:val="22"/>
        <w:szCs w:val="22"/>
      </w:rPr>
      <w:t xml:space="preserve"> </w:t>
    </w:r>
  </w:p>
  <w:p w14:paraId="20D22A83" w14:textId="77777777" w:rsidR="0059096B" w:rsidRDefault="0059096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2A87" w14:textId="77777777" w:rsidR="0059096B" w:rsidRDefault="0059096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AE0D6A"/>
    <w:multiLevelType w:val="multilevel"/>
    <w:tmpl w:val="A0F8D508"/>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36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6B"/>
    <w:rsid w:val="00025B84"/>
    <w:rsid w:val="00050991"/>
    <w:rsid w:val="00056130"/>
    <w:rsid w:val="000A08A6"/>
    <w:rsid w:val="00105E44"/>
    <w:rsid w:val="00121372"/>
    <w:rsid w:val="00121EC3"/>
    <w:rsid w:val="00132B94"/>
    <w:rsid w:val="00160EDD"/>
    <w:rsid w:val="002462CF"/>
    <w:rsid w:val="00295B9D"/>
    <w:rsid w:val="002B15C5"/>
    <w:rsid w:val="002B4990"/>
    <w:rsid w:val="002D0868"/>
    <w:rsid w:val="00352D33"/>
    <w:rsid w:val="003A227F"/>
    <w:rsid w:val="00426803"/>
    <w:rsid w:val="00484D62"/>
    <w:rsid w:val="004A2490"/>
    <w:rsid w:val="004A639A"/>
    <w:rsid w:val="00560569"/>
    <w:rsid w:val="00582A78"/>
    <w:rsid w:val="0059096B"/>
    <w:rsid w:val="00593CC8"/>
    <w:rsid w:val="006A0354"/>
    <w:rsid w:val="006F135D"/>
    <w:rsid w:val="007348C7"/>
    <w:rsid w:val="00737C98"/>
    <w:rsid w:val="00741499"/>
    <w:rsid w:val="00743B19"/>
    <w:rsid w:val="00790574"/>
    <w:rsid w:val="007D7924"/>
    <w:rsid w:val="00816C49"/>
    <w:rsid w:val="008B2940"/>
    <w:rsid w:val="008B3539"/>
    <w:rsid w:val="008C2480"/>
    <w:rsid w:val="008C4AD2"/>
    <w:rsid w:val="00920F26"/>
    <w:rsid w:val="009370A4"/>
    <w:rsid w:val="00993EFA"/>
    <w:rsid w:val="009B3272"/>
    <w:rsid w:val="00A57426"/>
    <w:rsid w:val="00A81DD7"/>
    <w:rsid w:val="00A821AB"/>
    <w:rsid w:val="00AC4482"/>
    <w:rsid w:val="00AE01CD"/>
    <w:rsid w:val="00AE5A34"/>
    <w:rsid w:val="00B2095D"/>
    <w:rsid w:val="00B457DB"/>
    <w:rsid w:val="00B7359B"/>
    <w:rsid w:val="00B84DC2"/>
    <w:rsid w:val="00BC2DF3"/>
    <w:rsid w:val="00C25250"/>
    <w:rsid w:val="00C52313"/>
    <w:rsid w:val="00C8171A"/>
    <w:rsid w:val="00CB7815"/>
    <w:rsid w:val="00CC35E5"/>
    <w:rsid w:val="00CE7D29"/>
    <w:rsid w:val="00D16072"/>
    <w:rsid w:val="00D4260C"/>
    <w:rsid w:val="00D442F6"/>
    <w:rsid w:val="00D54E3A"/>
    <w:rsid w:val="00D820F2"/>
    <w:rsid w:val="00D97864"/>
    <w:rsid w:val="00DF581A"/>
    <w:rsid w:val="00E2794E"/>
    <w:rsid w:val="00E31D9D"/>
    <w:rsid w:val="00E65759"/>
    <w:rsid w:val="00E65D7E"/>
    <w:rsid w:val="00E84AD0"/>
    <w:rsid w:val="00F7422B"/>
    <w:rsid w:val="00F7527C"/>
    <w:rsid w:val="00FD386E"/>
    <w:rsid w:val="00FE21A7"/>
    <w:rsid w:val="00FF60D0"/>
    <w:rsid w:val="00FF75CB"/>
    <w:rsid w:val="062E0D31"/>
    <w:rsid w:val="28D30EC1"/>
    <w:rsid w:val="3F972AA3"/>
    <w:rsid w:val="48D2A41C"/>
    <w:rsid w:val="508FE3F0"/>
    <w:rsid w:val="54122906"/>
    <w:rsid w:val="583EB1ED"/>
    <w:rsid w:val="5A7F2380"/>
    <w:rsid w:val="5F9F0AB5"/>
    <w:rsid w:val="7A3C141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2A57"/>
  <w15:docId w15:val="{E32D5093-6768-4528-AC96-F7017379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7422B"/>
    <w:rPr>
      <w:sz w:val="16"/>
      <w:szCs w:val="16"/>
    </w:r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9B3272"/>
  </w:style>
  <w:style w:type="paragraph" w:styleId="Encabezado">
    <w:name w:val="header"/>
    <w:basedOn w:val="Normal"/>
    <w:link w:val="EncabezadoCar"/>
    <w:uiPriority w:val="99"/>
    <w:semiHidden/>
    <w:unhideWhenUsed/>
    <w:rsid w:val="00920F26"/>
    <w:pPr>
      <w:tabs>
        <w:tab w:val="center" w:pos="4252"/>
        <w:tab w:val="right" w:pos="8504"/>
      </w:tabs>
    </w:pPr>
  </w:style>
  <w:style w:type="character" w:customStyle="1" w:styleId="EncabezadoCar">
    <w:name w:val="Encabezado Car"/>
    <w:basedOn w:val="Fuentedeprrafopredeter"/>
    <w:link w:val="Encabezado"/>
    <w:uiPriority w:val="99"/>
    <w:semiHidden/>
    <w:rsid w:val="00920F26"/>
  </w:style>
  <w:style w:type="paragraph" w:styleId="Piedepgina">
    <w:name w:val="footer"/>
    <w:basedOn w:val="Normal"/>
    <w:link w:val="PiedepginaCar"/>
    <w:uiPriority w:val="99"/>
    <w:semiHidden/>
    <w:unhideWhenUsed/>
    <w:rsid w:val="00920F26"/>
    <w:pPr>
      <w:tabs>
        <w:tab w:val="center" w:pos="4252"/>
        <w:tab w:val="right" w:pos="8504"/>
      </w:tabs>
    </w:pPr>
  </w:style>
  <w:style w:type="character" w:customStyle="1" w:styleId="PiedepginaCar">
    <w:name w:val="Pie de página Car"/>
    <w:basedOn w:val="Fuentedeprrafopredeter"/>
    <w:link w:val="Piedepgina"/>
    <w:uiPriority w:val="99"/>
    <w:semiHidden/>
    <w:rsid w:val="00920F26"/>
  </w:style>
  <w:style w:type="table" w:customStyle="1" w:styleId="TableNormal1">
    <w:name w:val="Table Normal1"/>
    <w:rsid w:val="009370A4"/>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F7422B"/>
    <w:rPr>
      <w:sz w:val="20"/>
      <w:szCs w:val="20"/>
    </w:rPr>
  </w:style>
  <w:style w:type="character" w:customStyle="1" w:styleId="TextocomentarioCar">
    <w:name w:val="Texto comentario Car"/>
    <w:basedOn w:val="Fuentedeprrafopredeter"/>
    <w:link w:val="Textocomentario"/>
    <w:uiPriority w:val="99"/>
    <w:rsid w:val="00F7422B"/>
    <w:rPr>
      <w:sz w:val="20"/>
      <w:szCs w:val="20"/>
    </w:rPr>
  </w:style>
  <w:style w:type="paragraph" w:styleId="Asuntodelcomentario">
    <w:name w:val="annotation subject"/>
    <w:basedOn w:val="Textocomentario"/>
    <w:next w:val="Textocomentario"/>
    <w:link w:val="AsuntodelcomentarioCar"/>
    <w:uiPriority w:val="99"/>
    <w:semiHidden/>
    <w:unhideWhenUsed/>
    <w:rsid w:val="00F7422B"/>
    <w:rPr>
      <w:b/>
      <w:bCs/>
    </w:rPr>
  </w:style>
  <w:style w:type="character" w:customStyle="1" w:styleId="AsuntodelcomentarioCar">
    <w:name w:val="Asunto del comentario Car"/>
    <w:basedOn w:val="TextocomentarioCar"/>
    <w:link w:val="Asuntodelcomentario"/>
    <w:uiPriority w:val="99"/>
    <w:semiHidden/>
    <w:rsid w:val="00F7422B"/>
    <w:rPr>
      <w:b/>
      <w:bCs/>
      <w:sz w:val="20"/>
      <w:szCs w:val="20"/>
    </w:rPr>
  </w:style>
  <w:style w:type="character" w:styleId="Hipervnculo">
    <w:name w:val="Hyperlink"/>
    <w:basedOn w:val="Fuentedeprrafopredeter"/>
    <w:uiPriority w:val="99"/>
    <w:unhideWhenUsed/>
    <w:rsid w:val="008C4AD2"/>
    <w:rPr>
      <w:color w:val="0000FF" w:themeColor="hyperlink"/>
      <w:u w:val="single"/>
    </w:rPr>
  </w:style>
  <w:style w:type="character" w:styleId="Mencinsinresolver">
    <w:name w:val="Unresolved Mention"/>
    <w:basedOn w:val="Fuentedeprrafopredeter"/>
    <w:uiPriority w:val="99"/>
    <w:semiHidden/>
    <w:unhideWhenUsed/>
    <w:rsid w:val="008C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a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strategy.ec.europa.eu/en/library/implementing-regulation-adoption-european-common-criteria-based-cybersecurity-certification-scheme" TargetMode="External"/><Relationship Id="rId17" Type="http://schemas.openxmlformats.org/officeDocument/2006/relationships/hyperlink" Target="mailto:evamc@varenga.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strategy.ec.europa.eu/en/library/implementing-regulation-adoption-european-common-criteria-based-cybersecurity-certification-schem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digital-strategy.ec.europa.eu/en/library/implementing-regulation-adoption-european-common-criteria-based-cybersecurity-certification-schem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ac.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6" ma:contentTypeDescription="Crear nuevo documento." ma:contentTypeScope="" ma:versionID="23f9a5496e668bb688b97de78c6f6cf9">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17dc88a39ba0aa5236fa82a1cb1aae8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C1E90-6B2A-4965-8C40-4D1E5F476CA9}">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2.xml><?xml version="1.0" encoding="utf-8"?>
<ds:datastoreItem xmlns:ds="http://schemas.openxmlformats.org/officeDocument/2006/customXml" ds:itemID="{7210172C-333E-4375-917C-BFADD3580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5DA6B-C5E6-43BB-A458-79837702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4972</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Denise Diaz Pozo</cp:lastModifiedBy>
  <cp:revision>66</cp:revision>
  <dcterms:created xsi:type="dcterms:W3CDTF">2024-02-14T00:29:00Z</dcterms:created>
  <dcterms:modified xsi:type="dcterms:W3CDTF">2024-04-01T15:49:00Z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0x0101009152DE15686E4843A3780C010A78B13A</vt:lpwstr>
  </property>
</Properties>
</file>