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="0055295A" w:rsidRDefault="0055295A" w14:paraId="00000001" w14:textId="77777777">
      <w:pPr>
        <w:pStyle w:val="Normal1"/>
        <w:jc w:val="center"/>
        <w:rPr>
          <w:rFonts w:ascii="Roboto" w:hAnsi="Roboto" w:eastAsia="Roboto" w:cs="Roboto"/>
          <w:sz w:val="32"/>
          <w:szCs w:val="32"/>
        </w:rPr>
      </w:pPr>
    </w:p>
    <w:p w:rsidR="0055295A" w:rsidRDefault="000D28A5" w14:paraId="00000002" w14:textId="77777777">
      <w:pPr>
        <w:pStyle w:val="Normal1"/>
        <w:jc w:val="center"/>
        <w:rPr>
          <w:rFonts w:ascii="Roboto" w:hAnsi="Roboto" w:eastAsia="Roboto" w:cs="Roboto"/>
          <w:b/>
          <w:sz w:val="32"/>
          <w:szCs w:val="32"/>
        </w:rPr>
      </w:pPr>
      <w:r>
        <w:rPr>
          <w:rFonts w:ascii="Roboto" w:hAnsi="Roboto" w:eastAsia="Roboto" w:cs="Roboto"/>
          <w:b/>
          <w:sz w:val="32"/>
          <w:szCs w:val="32"/>
        </w:rPr>
        <w:t>ENAC y la Asociación Española de Diagnóstico Prenatal acuerdan impulsar y visibilizar el papel de la acreditación en materia de diagnóstico prenatal</w:t>
      </w:r>
    </w:p>
    <w:p w:rsidR="0055295A" w:rsidRDefault="000D28A5" w14:paraId="00000003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center"/>
        <w:rPr>
          <w:rFonts w:ascii="Roboto" w:hAnsi="Roboto" w:eastAsia="Roboto" w:cs="Roboto"/>
          <w:sz w:val="2"/>
          <w:szCs w:val="2"/>
        </w:rPr>
      </w:pPr>
      <w:r>
        <w:rPr>
          <w:rFonts w:ascii="Roboto" w:hAnsi="Roboto" w:eastAsia="Roboto" w:cs="Roboto"/>
          <w:sz w:val="2"/>
          <w:szCs w:val="2"/>
        </w:rPr>
        <w:t xml:space="preserve"> </w:t>
      </w:r>
    </w:p>
    <w:p w:rsidR="0055295A" w:rsidRDefault="000D28A5" w14:paraId="00000004" w14:textId="77777777">
      <w:pPr>
        <w:pStyle w:val="Normal1"/>
        <w:numPr>
          <w:ilvl w:val="0"/>
          <w:numId w:val="1"/>
        </w:numPr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/>
        <w:ind w:left="1080"/>
        <w:rPr>
          <w:rFonts w:ascii="Roboto" w:hAnsi="Roboto" w:eastAsia="Roboto" w:cs="Roboto"/>
        </w:rPr>
      </w:pPr>
      <w:r>
        <w:rPr>
          <w:rFonts w:ascii="Roboto" w:hAnsi="Roboto" w:eastAsia="Roboto" w:cs="Roboto"/>
          <w:b/>
        </w:rPr>
        <w:t>Ambas organizaciones renuevan su acuerdo de colaboración, poniendo el foco en lo relacionado con actividades formativas sobre la norma ISO 15189, referencia a nivel global para los servicios diagnósticos</w:t>
      </w:r>
      <w:r>
        <w:rPr>
          <w:rFonts w:ascii="Roboto" w:hAnsi="Roboto" w:eastAsia="Roboto" w:cs="Roboto"/>
        </w:rPr>
        <w:t>.</w:t>
      </w:r>
    </w:p>
    <w:p w:rsidR="0055295A" w:rsidRDefault="0055295A" w14:paraId="00000005" w14:textId="77777777">
      <w:pPr>
        <w:pStyle w:val="Normal1"/>
        <w:pBdr>
          <w:top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after="0"/>
        <w:rPr>
          <w:rFonts w:ascii="Roboto" w:hAnsi="Roboto" w:eastAsia="Roboto" w:cs="Roboto"/>
          <w:sz w:val="10"/>
          <w:szCs w:val="10"/>
        </w:rPr>
      </w:pPr>
    </w:p>
    <w:p w:rsidR="0055295A" w:rsidRDefault="0055295A" w14:paraId="00000006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/>
        <w:jc w:val="both"/>
        <w:rPr>
          <w:rFonts w:ascii="Roboto" w:hAnsi="Roboto" w:eastAsia="Roboto" w:cs="Roboto"/>
        </w:rPr>
      </w:pPr>
    </w:p>
    <w:p w:rsidR="0055295A" w:rsidP="63D5A492" w:rsidRDefault="000D28A5" w14:paraId="44F36AD3" w14:textId="7DD8CE18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Roboto" w:hAnsi="Roboto" w:eastAsia="Roboto" w:cs="Roboto"/>
        </w:rPr>
      </w:pP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Madrid, 20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s-ES"/>
        </w:rPr>
        <w:t xml:space="preserve"> 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de marzo de 2024.- La </w:t>
      </w:r>
      <w:hyperlink r:id="R4dfb52c662d845f4">
        <w:r w:rsidRPr="63D5A492" w:rsidR="587AC432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strike w:val="0"/>
            <w:dstrike w:val="0"/>
            <w:noProof w:val="0"/>
            <w:color w:val="1155CC"/>
            <w:sz w:val="22"/>
            <w:szCs w:val="22"/>
            <w:u w:val="none"/>
            <w:lang w:val="es-ES"/>
          </w:rPr>
          <w:t>Entidad Nacional de Acreditación</w:t>
        </w:r>
      </w:hyperlink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(ENAC) y la Asociación Española de Diagnóstico Prenatal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333333"/>
          <w:sz w:val="22"/>
          <w:szCs w:val="22"/>
          <w:u w:val="none"/>
          <w:lang w:val="es-ES"/>
        </w:rPr>
        <w:t xml:space="preserve"> 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(</w:t>
      </w:r>
      <w:hyperlink r:id="Rfbc94d9898344ed2">
        <w:r w:rsidRPr="63D5A492" w:rsidR="587AC432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strike w:val="0"/>
            <w:dstrike w:val="0"/>
            <w:noProof w:val="0"/>
            <w:color w:val="000000" w:themeColor="text1" w:themeTint="FF" w:themeShade="FF"/>
            <w:sz w:val="22"/>
            <w:szCs w:val="22"/>
            <w:u w:val="none"/>
            <w:lang w:val="es-ES"/>
          </w:rPr>
          <w:t>AEDP</w:t>
        </w:r>
      </w:hyperlink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)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333333"/>
          <w:sz w:val="22"/>
          <w:szCs w:val="22"/>
          <w:u w:val="none"/>
          <w:lang w:val="es-ES"/>
        </w:rPr>
        <w:t xml:space="preserve"> </w:t>
      </w:r>
      <w:r w:rsidRPr="63D5A492" w:rsidR="587AC432">
        <w:rPr>
          <w:rFonts w:ascii="Roboto" w:hAnsi="Roboto" w:eastAsia="Roboto" w:cs="Roboto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han renovado recientemente su acuerdo para, además de incrementar la colaboración entre ambas instituciones, </w:t>
      </w:r>
      <w:r w:rsidRPr="63D5A492" w:rsidR="587AC432">
        <w:rPr>
          <w:rFonts w:ascii="Roboto" w:hAnsi="Roboto" w:eastAsia="Roboto" w:cs="Roboto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visibilizar el papel esencial que desempeña la acreditación en el sistema sanitario español en general y en el ámbito del diagnóstico prenatal en particular.</w:t>
      </w:r>
    </w:p>
    <w:p w:rsidR="0055295A" w:rsidP="63D5A492" w:rsidRDefault="000D28A5" w14:paraId="5F3B26CB" w14:textId="2B025BF0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Roboto" w:hAnsi="Roboto" w:eastAsia="Roboto" w:cs="Roboto"/>
        </w:rPr>
      </w:pPr>
    </w:p>
    <w:p w:rsidR="0055295A" w:rsidP="63D5A492" w:rsidRDefault="000D28A5" w14:paraId="00000009" w14:textId="35343E53">
      <w:pPr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Roboto" w:hAnsi="Roboto" w:eastAsia="Roboto" w:cs="Roboto"/>
        </w:rPr>
      </w:pPr>
      <w:r w:rsidRPr="63D5A492" w:rsidR="000D28A5">
        <w:rPr>
          <w:rFonts w:ascii="Roboto" w:hAnsi="Roboto" w:eastAsia="Roboto" w:cs="Roboto"/>
        </w:rPr>
        <w:t xml:space="preserve">La firma de este acuerdo refuerza la colaboración entre ENAC y la AEDP iniciada con un primer acuerdo en 2007, y </w:t>
      </w:r>
      <w:r w:rsidRPr="63D5A492" w:rsidR="000D28A5">
        <w:rPr>
          <w:rFonts w:ascii="Roboto" w:hAnsi="Roboto" w:eastAsia="Roboto" w:cs="Roboto"/>
          <w:b w:val="1"/>
          <w:bCs w:val="1"/>
        </w:rPr>
        <w:t>pone el foco en lo relacionado con actividades formativas sobre la norma ISO 15189, referencia a nivel global para los servicios diagnósticos</w:t>
      </w:r>
      <w:r w:rsidRPr="63D5A492" w:rsidR="000D28A5">
        <w:rPr>
          <w:rFonts w:ascii="Roboto" w:hAnsi="Roboto" w:eastAsia="Roboto" w:cs="Roboto"/>
        </w:rPr>
        <w:t>.</w:t>
      </w:r>
    </w:p>
    <w:p w:rsidR="63D5A492" w:rsidP="63D5A492" w:rsidRDefault="63D5A492" w14:paraId="391C27CA" w14:textId="6B7BAC4B">
      <w:pPr>
        <w:pStyle w:val="Normal"/>
        <w:shd w:val="clear" w:color="auto" w:fill="FFFFFF" w:themeFill="background1"/>
        <w:spacing w:before="0" w:beforeAutospacing="off" w:after="0" w:afterAutospacing="off"/>
        <w:ind w:left="-20" w:right="-20"/>
        <w:jc w:val="both"/>
        <w:rPr>
          <w:rFonts w:ascii="Roboto" w:hAnsi="Roboto" w:eastAsia="Roboto" w:cs="Roboto"/>
        </w:rPr>
      </w:pPr>
    </w:p>
    <w:p w:rsidR="0055295A" w:rsidRDefault="000D28A5" w14:paraId="0000000A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En este sentido, el acuerdo aborda el compromiso de ENAC de ofrecer a los asociados de la AEDP los cursos de Campus ENAC sobre la norma UNE-EN ISO 15189 a un coste reducido, con el objetivo de impulsar el conocimiento de la acreditación entre los profesionales sanitarios que llevan a cabo actividades de diagnóstico prenatal y que, en última instancia, la apliquen de forma habitual en sus centros de diagnóstico.</w:t>
      </w:r>
    </w:p>
    <w:p w:rsidR="0055295A" w:rsidRDefault="000D28A5" w14:paraId="0000000B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Por medio de este acuerdo, se evidencia, una vez más, el firme compromiso de ENAC en </w:t>
      </w:r>
      <w:r>
        <w:rPr>
          <w:rFonts w:ascii="Roboto" w:hAnsi="Roboto" w:eastAsia="Roboto" w:cs="Roboto"/>
          <w:b/>
        </w:rPr>
        <w:t>proporcionar las máximas garantías de competencia técnica a los servicios diagnósticos, elemento esencial para asegurar que las decisiones clínicas</w:t>
      </w:r>
      <w:r>
        <w:rPr>
          <w:rFonts w:ascii="Roboto" w:hAnsi="Roboto" w:eastAsia="Roboto" w:cs="Roboto"/>
        </w:rPr>
        <w:t xml:space="preserve"> se toman en base a resultados fiables, minimizar riesgos en la seguridad del paciente y aumentar la calidad diagnóstica.</w:t>
      </w:r>
    </w:p>
    <w:p w:rsidR="0055295A" w:rsidRDefault="0055295A" w14:paraId="0000000C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/>
        <w:jc w:val="both"/>
        <w:rPr>
          <w:rFonts w:ascii="Roboto" w:hAnsi="Roboto" w:eastAsia="Roboto" w:cs="Roboto"/>
        </w:rPr>
      </w:pPr>
    </w:p>
    <w:p w:rsidR="0055295A" w:rsidRDefault="000D28A5" w14:paraId="0000000D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/>
        <w:jc w:val="both"/>
        <w:rPr>
          <w:rFonts w:ascii="Roboto" w:hAnsi="Roboto" w:eastAsia="Roboto" w:cs="Roboto"/>
          <w:color w:val="E83544"/>
        </w:rPr>
      </w:pPr>
      <w:r>
        <w:rPr>
          <w:rFonts w:ascii="Roboto" w:hAnsi="Roboto" w:eastAsia="Roboto" w:cs="Roboto"/>
          <w:b/>
          <w:color w:val="E83544"/>
        </w:rPr>
        <w:t>Sobre ENAC y el sector sanitario</w:t>
      </w:r>
      <w:r>
        <w:rPr>
          <w:rFonts w:ascii="Roboto" w:hAnsi="Roboto" w:eastAsia="Roboto" w:cs="Roboto"/>
          <w:color w:val="E83544"/>
        </w:rPr>
        <w:t xml:space="preserve"> </w:t>
      </w:r>
    </w:p>
    <w:p w:rsidR="0055295A" w:rsidRDefault="000D28A5" w14:paraId="0000000E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spacing w:after="0"/>
        <w:jc w:val="both"/>
        <w:rPr>
          <w:rFonts w:ascii="Roboto" w:hAnsi="Roboto" w:eastAsia="Roboto" w:cs="Roboto"/>
          <w:color w:val="E83544"/>
        </w:rPr>
      </w:pPr>
      <w:r>
        <w:rPr>
          <w:rFonts w:ascii="Roboto" w:hAnsi="Roboto" w:eastAsia="Roboto" w:cs="Roboto"/>
          <w:color w:val="E83544"/>
        </w:rPr>
        <w:t xml:space="preserve"> </w:t>
      </w:r>
    </w:p>
    <w:p w:rsidR="0055295A" w:rsidRDefault="000D28A5" w14:paraId="0000000F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>La calidad y la seguridad son dos elementos fundamentales para garantizar un sistema sanitario acorde con las necesidades actuales. La acreditación de ENAC proporciona</w:t>
      </w:r>
      <w:r>
        <w:rPr>
          <w:rFonts w:ascii="Roboto" w:hAnsi="Roboto" w:eastAsia="Roboto" w:cs="Roboto"/>
          <w:b/>
        </w:rPr>
        <w:t xml:space="preserve"> </w:t>
      </w:r>
      <w:r>
        <w:rPr>
          <w:rFonts w:ascii="Roboto" w:hAnsi="Roboto" w:eastAsia="Roboto" w:cs="Roboto"/>
        </w:rPr>
        <w:t xml:space="preserve">confianza en los diferentes ámbitos y etapas de la prestación de los servicios siendo un sector en el que cada vez se hace más uso de la acreditación como instrumento de seguridad y control.   </w:t>
      </w:r>
    </w:p>
    <w:p w:rsidR="0055295A" w:rsidRDefault="000D28A5" w14:paraId="00000010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Entidad Nacional de Acreditación – ENAC – es la entidad designada por el Gobierno para operar en España como el único Organismo Nacional de Acreditación, en aplicación del Reglamento (CE) nº765/2008 del Parlamento Europeo que regula el funcionamiento de la acreditación en Europa.  </w:t>
      </w:r>
    </w:p>
    <w:p w:rsidR="0055295A" w:rsidRDefault="000D28A5" w14:paraId="00000011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ENAC ha acreditado a laboratorios de muy diversas especialidades (inmunología, bioquímica, genética, microbiología, hematología, anatomía patológica) y de diferentes niveles de especialización, desde centros nacionales de referencia a laboratorios hospitalarios de rutina y de urgencias, tanto públicos como privados.   </w:t>
      </w:r>
    </w:p>
    <w:p w:rsidR="0055295A" w:rsidRDefault="000D28A5" w14:paraId="00000012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La acreditación es la herramienta que proporciona confianza a los pacientes, prescriptores y gestores de servicios sanitarios y sociosanitarios de que los laboratorios clínicos han demostrado su competencia al superar un proceso de evaluación independiente y conforme a normas reconocidas internacionalmente. La norma UNE-EN ISO 15189 es el estándar especialmente enfocado al paciente como eje central de la actividad del laboratorio clínico.  </w:t>
      </w:r>
    </w:p>
    <w:p w:rsidR="0055295A" w:rsidRDefault="000D28A5" w14:paraId="00000013" w14:textId="77777777">
      <w:pPr>
        <w:pStyle w:val="Normal1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hd w:val="clear" w:color="auto" w:fill="FFFFFF"/>
        <w:jc w:val="both"/>
        <w:rPr>
          <w:rFonts w:ascii="Roboto" w:hAnsi="Roboto" w:eastAsia="Roboto" w:cs="Roboto"/>
        </w:rPr>
      </w:pPr>
      <w:r>
        <w:rPr>
          <w:rFonts w:ascii="Roboto" w:hAnsi="Roboto" w:eastAsia="Roboto" w:cs="Roboto"/>
        </w:rPr>
        <w:t xml:space="preserve"> </w:t>
      </w:r>
    </w:p>
    <w:p w:rsidR="0055295A" w:rsidRDefault="000D28A5" w14:paraId="00000014" w14:textId="77777777">
      <w:pPr>
        <w:pStyle w:val="Normal1"/>
        <w:pBdr>
          <w:bottom w:val="single" w:color="000000" w:sz="12" w:space="1"/>
        </w:pBdr>
        <w:spacing w:after="0" w:line="240" w:lineRule="auto"/>
        <w:jc w:val="both"/>
        <w:rPr>
          <w:rFonts w:ascii="Roboto" w:hAnsi="Roboto" w:eastAsia="Roboto" w:cs="Roboto"/>
          <w:color w:val="000000"/>
        </w:rPr>
      </w:pPr>
      <w:hyperlink r:id="rId12">
        <w:r>
          <w:rPr>
            <w:rFonts w:ascii="Roboto" w:hAnsi="Roboto" w:eastAsia="Roboto" w:cs="Roboto"/>
            <w:color w:val="000000"/>
            <w:u w:val="single"/>
          </w:rPr>
          <w:t>www.enac.es</w:t>
        </w:r>
      </w:hyperlink>
      <w:r>
        <w:rPr>
          <w:rFonts w:ascii="Roboto" w:hAnsi="Roboto" w:eastAsia="Roboto" w:cs="Roboto"/>
          <w:color w:val="000000"/>
        </w:rPr>
        <w:t xml:space="preserve"> </w:t>
      </w:r>
    </w:p>
    <w:p w:rsidR="0055295A" w:rsidRDefault="0055295A" w14:paraId="00000015" w14:textId="77777777">
      <w:pPr>
        <w:pStyle w:val="Normal1"/>
        <w:pBdr>
          <w:bottom w:val="single" w:color="000000" w:sz="12" w:space="1"/>
        </w:pBdr>
        <w:spacing w:after="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0D28A5" w14:paraId="00000016" w14:textId="77777777">
      <w:pPr>
        <w:pStyle w:val="Normal1"/>
        <w:pBdr>
          <w:bottom w:val="single" w:color="000000" w:sz="12" w:space="1"/>
        </w:pBdr>
        <w:spacing w:after="0" w:line="240" w:lineRule="auto"/>
        <w:jc w:val="both"/>
        <w:rPr>
          <w:rFonts w:ascii="Roboto" w:hAnsi="Roboto" w:eastAsia="Roboto" w:cs="Roboto"/>
          <w:color w:val="000000"/>
        </w:rPr>
      </w:pPr>
      <w:r>
        <w:rPr>
          <w:rFonts w:ascii="Roboto" w:hAnsi="Roboto" w:eastAsia="Roboto" w:cs="Roboto"/>
          <w:color w:val="000000"/>
        </w:rPr>
        <w:t xml:space="preserve"> </w:t>
      </w:r>
      <w:r>
        <w:rPr>
          <w:rFonts w:ascii="Roboto" w:hAnsi="Roboto" w:eastAsia="Roboto" w:cs="Roboto"/>
          <w:noProof/>
          <w:color w:val="0000FF"/>
        </w:rPr>
        <w:drawing>
          <wp:inline distT="114300" distB="114300" distL="114300" distR="114300" wp14:anchorId="53F68F7C" wp14:editId="07777777">
            <wp:extent cx="297039" cy="297039"/>
            <wp:effectExtent l="0" t="0" r="0" b="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039" cy="2970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hAnsi="Roboto" w:eastAsia="Roboto" w:cs="Roboto"/>
          <w:color w:val="000000"/>
        </w:rPr>
        <w:t xml:space="preserve">  </w:t>
      </w:r>
      <w:r>
        <w:rPr>
          <w:rFonts w:ascii="Roboto" w:hAnsi="Roboto" w:eastAsia="Roboto" w:cs="Roboto"/>
          <w:noProof/>
          <w:color w:val="000000"/>
        </w:rPr>
        <w:drawing>
          <wp:inline distT="0" distB="0" distL="0" distR="0" wp14:anchorId="55426285" wp14:editId="07777777">
            <wp:extent cx="304800" cy="304800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5295A" w:rsidRDefault="0055295A" w14:paraId="00000017" w14:textId="77777777">
      <w:pPr>
        <w:pStyle w:val="Normal1"/>
        <w:pBdr>
          <w:bottom w:val="single" w:color="000000" w:sz="12" w:space="1"/>
        </w:pBdr>
        <w:spacing w:after="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55295A" w14:paraId="00000018" w14:textId="77777777">
      <w:pPr>
        <w:pStyle w:val="Normal1"/>
        <w:spacing w:after="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0D28A5" w14:paraId="00000019" w14:textId="77777777">
      <w:pPr>
        <w:pStyle w:val="Normal1"/>
        <w:spacing w:after="0" w:line="240" w:lineRule="auto"/>
        <w:jc w:val="both"/>
        <w:rPr>
          <w:rFonts w:ascii="Roboto" w:hAnsi="Roboto" w:eastAsia="Roboto" w:cs="Roboto"/>
          <w:color w:val="000000"/>
        </w:rPr>
      </w:pPr>
      <w:r>
        <w:rPr>
          <w:rFonts w:ascii="Roboto" w:hAnsi="Roboto" w:eastAsia="Roboto" w:cs="Roboto"/>
          <w:color w:val="000000"/>
        </w:rPr>
        <w:t>Para más información sobre la nota de prensa, resolver dudas o gestionar entrevistas</w:t>
      </w:r>
    </w:p>
    <w:p w:rsidR="0055295A" w:rsidRDefault="000D28A5" w14:paraId="0000001A" w14:textId="77777777">
      <w:pPr>
        <w:pStyle w:val="Normal1"/>
        <w:spacing w:after="0" w:line="240" w:lineRule="auto"/>
        <w:jc w:val="both"/>
        <w:rPr>
          <w:rFonts w:ascii="Roboto" w:hAnsi="Roboto" w:eastAsia="Roboto" w:cs="Roboto"/>
          <w:color w:val="000000"/>
        </w:rPr>
      </w:pPr>
      <w:r>
        <w:rPr>
          <w:rFonts w:ascii="Roboto" w:hAnsi="Roboto" w:eastAsia="Roboto" w:cs="Roboto"/>
          <w:color w:val="000000"/>
        </w:rPr>
        <w:t>Eva Martín</w:t>
      </w:r>
    </w:p>
    <w:p w:rsidR="0055295A" w:rsidRDefault="000D28A5" w14:paraId="0000001B" w14:textId="77777777">
      <w:pPr>
        <w:pStyle w:val="Normal1"/>
        <w:spacing w:after="0" w:line="240" w:lineRule="auto"/>
        <w:jc w:val="both"/>
        <w:rPr>
          <w:rFonts w:ascii="Roboto" w:hAnsi="Roboto" w:eastAsia="Roboto" w:cs="Roboto"/>
          <w:color w:val="000000"/>
        </w:rPr>
      </w:pPr>
      <w:r>
        <w:rPr>
          <w:rFonts w:ascii="Roboto" w:hAnsi="Roboto" w:eastAsia="Roboto" w:cs="Roboto"/>
          <w:color w:val="000000"/>
        </w:rPr>
        <w:t xml:space="preserve">Tfno. 628 17 49 01 /  </w:t>
      </w:r>
      <w:hyperlink r:id="rId15">
        <w:r>
          <w:rPr>
            <w:rFonts w:ascii="Roboto" w:hAnsi="Roboto" w:eastAsia="Roboto" w:cs="Roboto"/>
            <w:color w:val="000000"/>
            <w:u w:val="single"/>
          </w:rPr>
          <w:t>evamc@varenga.es</w:t>
        </w:r>
      </w:hyperlink>
    </w:p>
    <w:p w:rsidR="0055295A" w:rsidRDefault="0055295A" w14:paraId="0000001C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55295A" w14:paraId="0000001D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55295A" w14:paraId="0000001E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hAnsi="Roboto" w:eastAsia="Roboto" w:cs="Roboto"/>
          <w:color w:val="000000"/>
        </w:rPr>
      </w:pPr>
    </w:p>
    <w:p w:rsidR="0055295A" w:rsidRDefault="0055295A" w14:paraId="0000001F" w14:textId="77777777">
      <w:pPr>
        <w:pStyle w:val="Normal1"/>
        <w:pBdr>
          <w:top w:val="nil"/>
          <w:left w:val="nil"/>
          <w:bottom w:val="nil"/>
          <w:right w:val="nil"/>
          <w:between w:val="nil"/>
        </w:pBdr>
        <w:spacing w:after="150" w:line="240" w:lineRule="auto"/>
        <w:jc w:val="both"/>
        <w:rPr>
          <w:rFonts w:ascii="Roboto" w:hAnsi="Roboto" w:eastAsia="Roboto" w:cs="Roboto"/>
          <w:color w:val="000000"/>
        </w:rPr>
      </w:pPr>
    </w:p>
    <w:sectPr w:rsidR="0055295A">
      <w:headerReference w:type="default" r:id="rId16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D28A5" w:rsidRDefault="000D28A5" w14:paraId="7C27EF8C" w14:textId="77777777">
      <w:pPr>
        <w:spacing w:after="0" w:line="240" w:lineRule="auto"/>
      </w:pPr>
      <w:r>
        <w:separator/>
      </w:r>
    </w:p>
  </w:endnote>
  <w:endnote w:type="continuationSeparator" w:id="0">
    <w:p w:rsidR="000D28A5" w:rsidRDefault="000D28A5" w14:paraId="2E08A72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855F3746-A380-4683-91CC-6E581374155B}" r:id="rId1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D8882FD-946D-4E6C-AFD5-72B7AC8BB266}" r:id="rId2"/>
    <w:embedBold w:fontKey="{52F4C2AB-4CDD-4E05-A19A-3BE94A483C2E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87CA81D7-C4D2-470A-BB52-19413C9A013E}" r:id="rId4"/>
    <w:embedItalic w:fontKey="{D10FEC07-B2B8-4C4A-A1E4-7FA868A1D634}" r:id="rId5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DBDB0075-112E-431E-81FA-5DF4195AAFC1}" r:id="rId6"/>
    <w:embedBold w:fontKey="{CAB17685-3376-422B-B722-BF8D7873C58D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5FBF446-6E15-4E84-889C-B5838ABC9AB3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D28A5" w:rsidRDefault="000D28A5" w14:paraId="2BDF17D0" w14:textId="77777777">
      <w:pPr>
        <w:spacing w:after="0" w:line="240" w:lineRule="auto"/>
      </w:pPr>
      <w:r>
        <w:separator/>
      </w:r>
    </w:p>
  </w:footnote>
  <w:footnote w:type="continuationSeparator" w:id="0">
    <w:p w:rsidR="000D28A5" w:rsidRDefault="000D28A5" w14:paraId="7A93B6BC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55295A" w:rsidRDefault="000D28A5" w14:paraId="00000020" w14:textId="77777777">
    <w:pPr>
      <w:pStyle w:val="Normal1"/>
      <w:spacing w:after="0" w:line="240" w:lineRule="auto"/>
      <w:ind w:left="-120"/>
      <w:jc w:val="both"/>
      <w:rPr>
        <w:rFonts w:ascii="Roboto" w:hAnsi="Roboto" w:eastAsia="Roboto" w:cs="Roboto"/>
        <w:b/>
        <w:sz w:val="40"/>
        <w:szCs w:val="4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BC3432C" wp14:editId="07777777">
          <wp:simplePos x="0" y="0"/>
          <wp:positionH relativeFrom="column">
            <wp:posOffset>4371975</wp:posOffset>
          </wp:positionH>
          <wp:positionV relativeFrom="paragraph">
            <wp:posOffset>9537</wp:posOffset>
          </wp:positionV>
          <wp:extent cx="1547842" cy="997267"/>
          <wp:effectExtent l="0" t="0" r="0" b="0"/>
          <wp:wrapSquare wrapText="bothSides" distT="114300" distB="11430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7842" cy="9972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5295A" w:rsidRDefault="0055295A" w14:paraId="00000021" w14:textId="77777777">
    <w:pPr>
      <w:pStyle w:val="Normal1"/>
      <w:spacing w:after="0" w:line="240" w:lineRule="auto"/>
      <w:ind w:left="-120"/>
      <w:jc w:val="both"/>
      <w:rPr>
        <w:rFonts w:ascii="Roboto" w:hAnsi="Roboto" w:eastAsia="Roboto" w:cs="Roboto"/>
        <w:b/>
        <w:sz w:val="40"/>
        <w:szCs w:val="40"/>
      </w:rPr>
    </w:pPr>
  </w:p>
  <w:p w:rsidR="0055295A" w:rsidRDefault="000D28A5" w14:paraId="00000022" w14:textId="77777777">
    <w:pPr>
      <w:pStyle w:val="Normal1"/>
      <w:spacing w:after="0" w:line="240" w:lineRule="auto"/>
      <w:ind w:left="-120"/>
      <w:jc w:val="both"/>
      <w:rPr>
        <w:rFonts w:ascii="Roboto" w:hAnsi="Roboto" w:eastAsia="Roboto" w:cs="Roboto"/>
      </w:rPr>
    </w:pPr>
    <w:r>
      <w:rPr>
        <w:rFonts w:ascii="Roboto" w:hAnsi="Roboto" w:eastAsia="Roboto" w:cs="Roboto"/>
        <w:b/>
        <w:sz w:val="40"/>
        <w:szCs w:val="40"/>
      </w:rPr>
      <w:t>NOTA DE PRENSA</w:t>
    </w:r>
    <w:r>
      <w:rPr>
        <w:rFonts w:ascii="Roboto" w:hAnsi="Roboto" w:eastAsia="Roboto" w:cs="Roboto"/>
      </w:rPr>
      <w:t xml:space="preserve"> </w:t>
    </w:r>
  </w:p>
  <w:p w:rsidR="0055295A" w:rsidRDefault="0055295A" w14:paraId="00000023" w14:textId="77777777">
    <w:pPr>
      <w:pStyle w:val="Normal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746FB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Verdana" w:hAnsi="Verdana" w:eastAsia="Verdana" w:cs="Verdana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94529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295A"/>
    <w:rsid w:val="000D28A5"/>
    <w:rsid w:val="0055295A"/>
    <w:rsid w:val="587AC432"/>
    <w:rsid w:val="63D5A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90D9EB"/>
  <w15:docId w15:val="{507A970E-AC25-4A64-936A-6BE3D958C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E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</w:style>
  <w:style w:type="table" w:styleId="NormalTable0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ing10" w:customStyle="1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styleId="heading20" w:customStyle="1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pPr>
      <w:keepNext/>
      <w:keepLines/>
      <w:spacing w:before="240" w:after="40"/>
    </w:pPr>
    <w:rPr>
      <w:b/>
      <w:sz w:val="24"/>
      <w:szCs w:val="24"/>
    </w:rPr>
  </w:style>
  <w:style w:type="paragraph" w:styleId="heading50" w:customStyle="1">
    <w:name w:val="heading 50"/>
    <w:basedOn w:val="Normal0"/>
    <w:next w:val="Normal0"/>
    <w:pPr>
      <w:keepNext/>
      <w:keepLines/>
      <w:spacing w:before="220" w:after="40"/>
    </w:pPr>
    <w:rPr>
      <w:b/>
    </w:rPr>
  </w:style>
  <w:style w:type="paragraph" w:styleId="heading60" w:customStyle="1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styleId="Title0" w:customStyle="1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Normal1" w:customStyle="1">
    <w:name w:val="Normal1"/>
    <w:qFormat/>
  </w:style>
  <w:style w:type="paragraph" w:styleId="heading11" w:customStyle="1">
    <w:name w:val="heading 1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1" w:customStyle="1">
    <w:name w:val="heading 21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1" w:customStyle="1">
    <w:name w:val="heading 31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1" w:customStyle="1">
    <w:name w:val="heading 41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1" w:customStyle="1">
    <w:name w:val="heading 51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1" w:customStyle="1">
    <w:name w:val="heading 61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1" w:customStyle="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00" w:customStyle="1">
    <w:name w:val="Normal Table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1" w:customStyle="1">
    <w:name w:val="Title1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7B1865"/>
    <w:pPr>
      <w:spacing w:after="0" w:line="240" w:lineRule="auto"/>
    </w:pPr>
  </w:style>
  <w:style w:type="paragraph" w:styleId="Encabezado">
    <w:name w:val="header"/>
    <w:basedOn w:val="Normal1"/>
    <w:link w:val="EncabezadoCar"/>
    <w:uiPriority w:val="99"/>
    <w:semiHidden/>
    <w:unhideWhenUsed/>
    <w:rsid w:val="00291ACE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/>
    <w:rsid w:val="00291ACE"/>
  </w:style>
  <w:style w:type="paragraph" w:styleId="Piedepgina">
    <w:name w:val="footer"/>
    <w:basedOn w:val="Normal1"/>
    <w:link w:val="PiedepginaCar"/>
    <w:uiPriority w:val="99"/>
    <w:semiHidden/>
    <w:unhideWhenUsed/>
    <w:rsid w:val="00291ACE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semiHidden/>
    <w:rsid w:val="00291ACE"/>
  </w:style>
  <w:style w:type="paragraph" w:styleId="Subtitle0" w:customStyle="1">
    <w:name w:val="Subtitle0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Subtitle1" w:customStyle="1">
    <w:name w:val="Subtitle1"/>
    <w:basedOn w:val="Normal1"/>
    <w:next w:val="Normal1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1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www.enac.es" TargetMode="External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mailto:evamc@varenga.es" TargetMode="Externa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openxmlformats.org/officeDocument/2006/relationships/hyperlink" Target="https://www.enac.es/" TargetMode="External" Id="R4dfb52c662d845f4" /><Relationship Type="http://schemas.openxmlformats.org/officeDocument/2006/relationships/hyperlink" Target="https://aedprenatal.com/" TargetMode="External" Id="Rfbc94d9898344ed2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e290ce1-b2e7-4ccb-948d-a290ef611fa1">
      <Terms xmlns="http://schemas.microsoft.com/office/infopath/2007/PartnerControls"/>
    </lcf76f155ced4ddcb4097134ff3c332f>
    <TaxCatchAll xmlns="909e21e3-a2e2-47ca-be0e-9c3a9bef929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152DE15686E4843A3780C010A78B13A" ma:contentTypeVersion="16" ma:contentTypeDescription="Crear nuevo documento." ma:contentTypeScope="" ma:versionID="23f9a5496e668bb688b97de78c6f6cf9">
  <xsd:schema xmlns:xsd="http://www.w3.org/2001/XMLSchema" xmlns:xs="http://www.w3.org/2001/XMLSchema" xmlns:p="http://schemas.microsoft.com/office/2006/metadata/properties" xmlns:ns2="6e290ce1-b2e7-4ccb-948d-a290ef611fa1" xmlns:ns3="909e21e3-a2e2-47ca-be0e-9c3a9bef9292" targetNamespace="http://schemas.microsoft.com/office/2006/metadata/properties" ma:root="true" ma:fieldsID="17dc88a39ba0aa5236fa82a1cb1aae87" ns2:_="" ns3:_="">
    <xsd:import namespace="6e290ce1-b2e7-4ccb-948d-a290ef611fa1"/>
    <xsd:import namespace="909e21e3-a2e2-47ca-be0e-9c3a9bef92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290ce1-b2e7-4ccb-948d-a290ef611f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as de imagen" ma:readOnly="false" ma:fieldId="{5cf76f15-5ced-4ddc-b409-7134ff3c332f}" ma:taxonomyMulti="true" ma:sspId="45c5079e-b5d9-4f40-8558-acc8d9d79a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9e21e3-a2e2-47ca-be0e-9c3a9bef929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6efcf77-0706-4f8e-b256-a6b4bd8b1840}" ma:internalName="TaxCatchAll" ma:showField="CatchAllData" ma:web="909e21e3-a2e2-47ca-be0e-9c3a9bef9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y2z5uwmpJTNUUYfDv7CSz6eNWQ==">CgMxLjAaGgoBMBIVChMIBCoPCgtBQUFCSkZUQk1PYxABGhoKATESFQoTCAQqDwoLQUFBQkpGVEJNT2MQAhoaCgEyEhUKEwgEKg8KC0FBQUJKRlRCTU9nEAIiwAIKC0FBQUJKRlRCTU9jEowCCgtBQUFCSkZUQk1PYxILQUFBQkpGVEJNT2MaDQoJdGV4dC9odG1sEgAiDgoKdGV4dC9wbGFpbhIAKhsiFTExMTk4Njc5NTk2MzExMTY0MDM0MCgAOAAwr6iSueMxOLzvornjMUpyCiRhcHBsaWNhdGlvbi92bmQuZ29vZ2xlLWFwcHMuZG9jcy5tZHMaSsLX2uQBRApCCjUKL0xhIEVudGlkYWQgTmFjaW9uYWwgZGUgQWNyZWRpdGFjacOzbiAoRU5BQykgeSBsEAEYABIHCgFMEAEYABgBWgw0NTFhN2ZieWVzdnNyAiAAeACCARRzdWdnZXN0LjM4a2tlcmp2ZXBka5oBBggAEAAYABivqJK54zEgvO+iueMxQhRzdWdnZXN0LjM4a2tlcmp2ZXBkayKOAgoLQUFBQkpGVEJNT2cS2gEKC0FBQUJKRlRCTU9nEgtBQUFCSkZUQk1PZxoNCgl0ZXh0L2h0bWwSACIOCgp0ZXh0L3BsYWluEgAqGyIVMTExOTg2Nzk1OTYzMTExNjQwMzQwKAA4ADCj95K54zE4zf2SueMxSkAKJGFwcGxpY2F0aW9uL3ZuZC5nb29nbGUtYXBwcy5kb2NzLm1kcxoYwtfa5AESEhAKDAoGeSBFTkFDEAEYABABWgw3ZHg4dWVtZTY5MDJyAiAAeACCARRzdWdnZXN0LjV5czJjbWdocmt4MZoBBggAEAAYABij95K54zEgzf2SueMxQhRzdWdnZXN0LjV5czJjbWdocmt4MTgAaiMKFHN1Z2dlc3QuMzhra2VyanZlcGRrEgtFdmEgTWFydMOtbmojChRzdWdnZXN0LjV5czJjbWdocmt4MRILRXZhIE1hcnTDrW5yITFpSjlHUUhNU2d3eld5aHFUeWdKbDhhUGdQNlNpYjFweg==</go:docsCustomData>
</go:gDocsCustomXmlDataStorage>
</file>

<file path=customXml/itemProps1.xml><?xml version="1.0" encoding="utf-8"?>
<ds:datastoreItem xmlns:ds="http://schemas.openxmlformats.org/officeDocument/2006/customXml" ds:itemID="{3C6D9046-6AEA-4CAF-A954-E9A076976AB9}">
  <ds:schemaRefs>
    <ds:schemaRef ds:uri="http://schemas.microsoft.com/office/2006/metadata/properties"/>
    <ds:schemaRef ds:uri="http://schemas.microsoft.com/office/infopath/2007/PartnerControls"/>
    <ds:schemaRef ds:uri="6e290ce1-b2e7-4ccb-948d-a290ef611fa1"/>
    <ds:schemaRef ds:uri="909e21e3-a2e2-47ca-be0e-9c3a9bef9292"/>
  </ds:schemaRefs>
</ds:datastoreItem>
</file>

<file path=customXml/itemProps2.xml><?xml version="1.0" encoding="utf-8"?>
<ds:datastoreItem xmlns:ds="http://schemas.openxmlformats.org/officeDocument/2006/customXml" ds:itemID="{0F645542-E1B9-40F9-B6B3-156C7D73DB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25E3DD-4D81-464F-8DAE-6BAF6F3935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290ce1-b2e7-4ccb-948d-a290ef611fa1"/>
    <ds:schemaRef ds:uri="909e21e3-a2e2-47ca-be0e-9c3a9bef92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Denise Diaz Pozo</dc:creator>
  <lastModifiedBy>Eva Martín</lastModifiedBy>
  <revision>2</revision>
  <dcterms:created xsi:type="dcterms:W3CDTF">2024-03-18T11:36:00.0000000Z</dcterms:created>
  <dcterms:modified xsi:type="dcterms:W3CDTF">2024-03-18T11:36:55.6156063Z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0x0101009152DE15686E4843A3780C010A78B13A</vt:lpwstr>
  </property>
  <property fmtid="{D5CDD505-2E9C-101B-9397-08002B2CF9AE}" pid="3" name="MediaServiceImageTags">
    <vt:lpwstr/>
  </property>
</Properties>
</file>